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24604" w14:textId="7A812D07" w:rsidR="00BC7381" w:rsidRDefault="00BC7381" w:rsidP="00A02B5C">
      <w:pPr>
        <w:pStyle w:val="Heading1ChapterNumber"/>
      </w:pPr>
      <w:bookmarkStart w:id="0" w:name="_Toc72230961"/>
      <w:r>
        <w:t xml:space="preserve">Chapter </w:t>
      </w:r>
      <w:fldSimple w:instr=" STYLEREF  &quot;Heading 1&quot; \n  \* MERGEFORMAT ">
        <w:r w:rsidR="007D394B">
          <w:rPr>
            <w:noProof/>
          </w:rPr>
          <w:t>5</w:t>
        </w:r>
        <w:bookmarkEnd w:id="0"/>
      </w:fldSimple>
    </w:p>
    <w:bookmarkStart w:id="1" w:name="_Toc71731579"/>
    <w:p w14:paraId="5574E0B1" w14:textId="2AECD098" w:rsidR="00A02B5C" w:rsidRPr="00E8026F" w:rsidRDefault="009A087F" w:rsidP="00AC57BD">
      <w:pPr>
        <w:pStyle w:val="Heading1"/>
      </w:pPr>
      <w:sdt>
        <w:sdtPr>
          <w:id w:val="-1581045511"/>
          <w:docPartObj>
            <w:docPartGallery w:val="Cover Pages"/>
            <w:docPartUnique/>
          </w:docPartObj>
        </w:sdtPr>
        <w:sdtEndPr/>
        <w:sdtContent>
          <w:bookmarkStart w:id="2" w:name="_Toc46733439"/>
          <w:r w:rsidR="00547D6A" w:rsidRPr="00547D6A">
            <w:t xml:space="preserve">Evaluation and </w:t>
          </w:r>
          <w:bookmarkEnd w:id="2"/>
          <w:r w:rsidR="00F60A10">
            <w:t>a</w:t>
          </w:r>
          <w:r w:rsidR="00547D6A" w:rsidRPr="00547D6A">
            <w:t xml:space="preserve">ssessment </w:t>
          </w:r>
          <w:r w:rsidR="00F60A10">
            <w:t>f</w:t>
          </w:r>
          <w:r w:rsidR="00547D6A" w:rsidRPr="00547D6A">
            <w:t>ramework</w:t>
          </w:r>
        </w:sdtContent>
      </w:sdt>
      <w:bookmarkEnd w:id="1"/>
    </w:p>
    <w:p w14:paraId="7FDCCCF3" w14:textId="56997A3C" w:rsidR="00A02B5C" w:rsidRPr="00E613EA" w:rsidRDefault="00AC57BD" w:rsidP="00E613EA">
      <w:pPr>
        <w:pStyle w:val="Chapterimage"/>
      </w:pPr>
      <w:r>
        <w:drawing>
          <wp:anchor distT="0" distB="0" distL="114300" distR="114300" simplePos="0" relativeHeight="251659264" behindDoc="0" locked="0" layoutInCell="1" allowOverlap="1" wp14:anchorId="5AA5BBA9" wp14:editId="3C887D14">
            <wp:simplePos x="0" y="0"/>
            <wp:positionH relativeFrom="page">
              <wp:posOffset>0</wp:posOffset>
            </wp:positionH>
            <wp:positionV relativeFrom="page">
              <wp:posOffset>0</wp:posOffset>
            </wp:positionV>
            <wp:extent cx="7563485" cy="1069149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t>d</w:t>
      </w:r>
    </w:p>
    <w:p w14:paraId="54AF80A2" w14:textId="77777777" w:rsidR="00E8026F" w:rsidRPr="00E613EA" w:rsidRDefault="00E8026F" w:rsidP="00E613EA">
      <w:pPr>
        <w:pStyle w:val="Chapterimage"/>
        <w:sectPr w:rsidR="00E8026F" w:rsidRPr="00E613EA" w:rsidSect="006406FD">
          <w:headerReference w:type="even" r:id="rId13"/>
          <w:headerReference w:type="default" r:id="rId14"/>
          <w:footerReference w:type="even" r:id="rId15"/>
          <w:footerReference w:type="default" r:id="rId16"/>
          <w:headerReference w:type="first" r:id="rId17"/>
          <w:type w:val="oddPage"/>
          <w:pgSz w:w="11906" w:h="16838" w:code="9"/>
          <w:pgMar w:top="1418" w:right="1418" w:bottom="1418" w:left="1418" w:header="567" w:footer="567" w:gutter="0"/>
          <w:pgNumType w:chapStyle="1"/>
          <w:cols w:space="708"/>
          <w:titlePg/>
          <w:docGrid w:linePitch="360"/>
        </w:sectPr>
      </w:pPr>
    </w:p>
    <w:bookmarkStart w:id="3" w:name="_Toc392541312" w:displacedByCustomXml="next"/>
    <w:bookmarkStart w:id="4" w:name="_Toc42228428" w:displacedByCustomXml="next"/>
    <w:sdt>
      <w:sdtPr>
        <w:rPr>
          <w:rFonts w:asciiTheme="minorHAnsi" w:eastAsiaTheme="minorHAnsi" w:hAnsiTheme="minorHAnsi" w:cstheme="minorBidi"/>
          <w:bCs w:val="0"/>
          <w:color w:val="auto"/>
          <w:sz w:val="22"/>
          <w:szCs w:val="22"/>
        </w:rPr>
        <w:id w:val="-278254695"/>
        <w:docPartObj>
          <w:docPartGallery w:val="Table of Contents"/>
          <w:docPartUnique/>
        </w:docPartObj>
      </w:sdtPr>
      <w:sdtEndPr>
        <w:rPr>
          <w:b/>
          <w:sz w:val="20"/>
        </w:rPr>
      </w:sdtEndPr>
      <w:sdtContent>
        <w:sdt>
          <w:sdtPr>
            <w:rPr>
              <w:rFonts w:asciiTheme="minorHAnsi" w:eastAsiaTheme="minorHAnsi" w:hAnsiTheme="minorHAnsi" w:cstheme="minorBidi"/>
              <w:bCs w:val="0"/>
              <w:noProof/>
              <w:sz w:val="20"/>
              <w:szCs w:val="22"/>
            </w:rPr>
            <w:id w:val="201988949"/>
            <w:docPartObj>
              <w:docPartGallery w:val="Table of Contents"/>
              <w:docPartUnique/>
            </w:docPartObj>
          </w:sdtPr>
          <w:sdtEndPr>
            <w:rPr>
              <w:b/>
            </w:rPr>
          </w:sdtEndPr>
          <w:sdtContent>
            <w:p w14:paraId="75E34996" w14:textId="77777777" w:rsidR="00AC57BD" w:rsidRDefault="00AC57BD" w:rsidP="00AC57BD">
              <w:pPr>
                <w:pStyle w:val="TOCHeading"/>
              </w:pPr>
              <w:r>
                <w:t>Contents</w:t>
              </w:r>
            </w:p>
            <w:p w14:paraId="08C5E7E8" w14:textId="77777777" w:rsidR="007D394B" w:rsidRDefault="00AC57BD">
              <w:pPr>
                <w:pStyle w:val="TOC1"/>
                <w:rPr>
                  <w:rFonts w:eastAsiaTheme="minorEastAsia"/>
                  <w:color w:val="auto"/>
                  <w:lang w:eastAsia="en-AU"/>
                </w:rPr>
              </w:pPr>
              <w:r>
                <w:fldChar w:fldCharType="begin"/>
              </w:r>
              <w:r>
                <w:instrText xml:space="preserve"> TOC \o "2-3" \n 1-1 \h \z \t "Heading 1 Chapter Number,1, Heading 1 No Number,1, Heading 2 No Number,6, Heading 3 No Number,7, Heading 4 No Number,8, Appendix Heading 1,1, Appendix Heading 2,2, Appendix Heading 3,3" </w:instrText>
              </w:r>
              <w:r>
                <w:fldChar w:fldCharType="separate"/>
              </w:r>
              <w:hyperlink w:anchor="_Toc72230961" w:history="1">
                <w:r w:rsidR="007D394B" w:rsidRPr="00D649BD">
                  <w:rPr>
                    <w:rStyle w:val="Hyperlink"/>
                  </w:rPr>
                  <w:t>Chapter 5</w:t>
                </w:r>
              </w:hyperlink>
            </w:p>
            <w:p w14:paraId="2B5E7770" w14:textId="1E3D46F8" w:rsidR="007D394B" w:rsidRDefault="009A087F">
              <w:pPr>
                <w:pStyle w:val="TOC2"/>
                <w:rPr>
                  <w:rFonts w:eastAsiaTheme="minorEastAsia"/>
                  <w:color w:val="auto"/>
                  <w:sz w:val="22"/>
                  <w:lang w:eastAsia="en-AU"/>
                </w:rPr>
              </w:pPr>
              <w:hyperlink w:anchor="_Toc72230962" w:history="1">
                <w:r w:rsidR="007D394B" w:rsidRPr="00D649BD">
                  <w:rPr>
                    <w:rStyle w:val="Hyperlink"/>
                  </w:rPr>
                  <w:t>5.1</w:t>
                </w:r>
                <w:r w:rsidR="007D394B">
                  <w:rPr>
                    <w:rFonts w:eastAsiaTheme="minorEastAsia"/>
                    <w:color w:val="auto"/>
                    <w:sz w:val="22"/>
                    <w:lang w:eastAsia="en-AU"/>
                  </w:rPr>
                  <w:tab/>
                </w:r>
                <w:r w:rsidR="007D394B" w:rsidRPr="00D649BD">
                  <w:rPr>
                    <w:rStyle w:val="Hyperlink"/>
                  </w:rPr>
                  <w:t>Introduction</w:t>
                </w:r>
                <w:r w:rsidR="007D394B">
                  <w:rPr>
                    <w:webHidden/>
                  </w:rPr>
                  <w:tab/>
                </w:r>
                <w:r w:rsidR="007D394B">
                  <w:rPr>
                    <w:webHidden/>
                  </w:rPr>
                  <w:fldChar w:fldCharType="begin"/>
                </w:r>
                <w:r w:rsidR="007D394B">
                  <w:rPr>
                    <w:webHidden/>
                  </w:rPr>
                  <w:instrText xml:space="preserve"> PAGEREF _Toc72230962 \h </w:instrText>
                </w:r>
                <w:r w:rsidR="007D394B">
                  <w:rPr>
                    <w:webHidden/>
                  </w:rPr>
                </w:r>
                <w:r w:rsidR="007D394B">
                  <w:rPr>
                    <w:webHidden/>
                  </w:rPr>
                  <w:fldChar w:fldCharType="separate"/>
                </w:r>
                <w:r w:rsidR="007D394B">
                  <w:rPr>
                    <w:webHidden/>
                  </w:rPr>
                  <w:t>5-1</w:t>
                </w:r>
                <w:r w:rsidR="007D394B">
                  <w:rPr>
                    <w:webHidden/>
                  </w:rPr>
                  <w:fldChar w:fldCharType="end"/>
                </w:r>
              </w:hyperlink>
            </w:p>
            <w:p w14:paraId="6218DA74" w14:textId="20D41D30" w:rsidR="007D394B" w:rsidRDefault="009A087F">
              <w:pPr>
                <w:pStyle w:val="TOC2"/>
                <w:rPr>
                  <w:rFonts w:eastAsiaTheme="minorEastAsia"/>
                  <w:color w:val="auto"/>
                  <w:sz w:val="22"/>
                  <w:lang w:eastAsia="en-AU"/>
                </w:rPr>
              </w:pPr>
              <w:hyperlink w:anchor="_Toc72230963" w:history="1">
                <w:r w:rsidR="007D394B" w:rsidRPr="00D649BD">
                  <w:rPr>
                    <w:rStyle w:val="Hyperlink"/>
                  </w:rPr>
                  <w:t>5.2</w:t>
                </w:r>
                <w:r w:rsidR="007D394B">
                  <w:rPr>
                    <w:rFonts w:eastAsiaTheme="minorEastAsia"/>
                    <w:color w:val="auto"/>
                    <w:sz w:val="22"/>
                    <w:lang w:eastAsia="en-AU"/>
                  </w:rPr>
                  <w:tab/>
                </w:r>
                <w:r w:rsidR="007D394B" w:rsidRPr="00D649BD">
                  <w:rPr>
                    <w:rStyle w:val="Hyperlink"/>
                  </w:rPr>
                  <w:t>Approvals</w:t>
                </w:r>
                <w:r w:rsidR="007D394B">
                  <w:rPr>
                    <w:webHidden/>
                  </w:rPr>
                  <w:tab/>
                </w:r>
                <w:r w:rsidR="007D394B">
                  <w:rPr>
                    <w:webHidden/>
                  </w:rPr>
                  <w:fldChar w:fldCharType="begin"/>
                </w:r>
                <w:r w:rsidR="007D394B">
                  <w:rPr>
                    <w:webHidden/>
                  </w:rPr>
                  <w:instrText xml:space="preserve"> PAGEREF _Toc72230963 \h </w:instrText>
                </w:r>
                <w:r w:rsidR="007D394B">
                  <w:rPr>
                    <w:webHidden/>
                  </w:rPr>
                </w:r>
                <w:r w:rsidR="007D394B">
                  <w:rPr>
                    <w:webHidden/>
                  </w:rPr>
                  <w:fldChar w:fldCharType="separate"/>
                </w:r>
                <w:r w:rsidR="007D394B">
                  <w:rPr>
                    <w:webHidden/>
                  </w:rPr>
                  <w:t>5-1</w:t>
                </w:r>
                <w:r w:rsidR="007D394B">
                  <w:rPr>
                    <w:webHidden/>
                  </w:rPr>
                  <w:fldChar w:fldCharType="end"/>
                </w:r>
              </w:hyperlink>
            </w:p>
            <w:p w14:paraId="6E817B04" w14:textId="377B55A0" w:rsidR="007D394B" w:rsidRDefault="009A087F">
              <w:pPr>
                <w:pStyle w:val="TOC2"/>
                <w:rPr>
                  <w:rFonts w:eastAsiaTheme="minorEastAsia"/>
                  <w:color w:val="auto"/>
                  <w:sz w:val="22"/>
                  <w:lang w:eastAsia="en-AU"/>
                </w:rPr>
              </w:pPr>
              <w:hyperlink w:anchor="_Toc72230964" w:history="1">
                <w:r w:rsidR="007D394B" w:rsidRPr="00D649BD">
                  <w:rPr>
                    <w:rStyle w:val="Hyperlink"/>
                  </w:rPr>
                  <w:t>5.3</w:t>
                </w:r>
                <w:r w:rsidR="007D394B">
                  <w:rPr>
                    <w:rFonts w:eastAsiaTheme="minorEastAsia"/>
                    <w:color w:val="auto"/>
                    <w:sz w:val="22"/>
                    <w:lang w:eastAsia="en-AU"/>
                  </w:rPr>
                  <w:tab/>
                </w:r>
                <w:r w:rsidR="007D394B" w:rsidRPr="00D649BD">
                  <w:rPr>
                    <w:rStyle w:val="Hyperlink"/>
                    <w:i/>
                  </w:rPr>
                  <w:t>Environment Effects Act 1978</w:t>
                </w:r>
                <w:r w:rsidR="007D394B" w:rsidRPr="00D649BD">
                  <w:rPr>
                    <w:rStyle w:val="Hyperlink"/>
                  </w:rPr>
                  <w:t xml:space="preserve"> (Vic)</w:t>
                </w:r>
                <w:r w:rsidR="007D394B">
                  <w:rPr>
                    <w:webHidden/>
                  </w:rPr>
                  <w:tab/>
                </w:r>
                <w:r w:rsidR="007D394B">
                  <w:rPr>
                    <w:webHidden/>
                  </w:rPr>
                  <w:fldChar w:fldCharType="begin"/>
                </w:r>
                <w:r w:rsidR="007D394B">
                  <w:rPr>
                    <w:webHidden/>
                  </w:rPr>
                  <w:instrText xml:space="preserve"> PAGEREF _Toc72230964 \h </w:instrText>
                </w:r>
                <w:r w:rsidR="007D394B">
                  <w:rPr>
                    <w:webHidden/>
                  </w:rPr>
                </w:r>
                <w:r w:rsidR="007D394B">
                  <w:rPr>
                    <w:webHidden/>
                  </w:rPr>
                  <w:fldChar w:fldCharType="separate"/>
                </w:r>
                <w:r w:rsidR="007D394B">
                  <w:rPr>
                    <w:webHidden/>
                  </w:rPr>
                  <w:t>5-2</w:t>
                </w:r>
                <w:r w:rsidR="007D394B">
                  <w:rPr>
                    <w:webHidden/>
                  </w:rPr>
                  <w:fldChar w:fldCharType="end"/>
                </w:r>
              </w:hyperlink>
            </w:p>
            <w:p w14:paraId="7859315A" w14:textId="35638250" w:rsidR="007D394B" w:rsidRDefault="009A087F">
              <w:pPr>
                <w:pStyle w:val="TOC3"/>
                <w:rPr>
                  <w:rFonts w:eastAsiaTheme="minorEastAsia"/>
                  <w:sz w:val="22"/>
                  <w:lang w:eastAsia="en-AU"/>
                </w:rPr>
              </w:pPr>
              <w:hyperlink w:anchor="_Toc72230965" w:history="1">
                <w:r w:rsidR="007D394B" w:rsidRPr="00D649BD">
                  <w:rPr>
                    <w:rStyle w:val="Hyperlink"/>
                  </w:rPr>
                  <w:t>5.3.1</w:t>
                </w:r>
                <w:r w:rsidR="007D394B">
                  <w:rPr>
                    <w:rFonts w:eastAsiaTheme="minorEastAsia"/>
                    <w:sz w:val="22"/>
                    <w:lang w:eastAsia="en-AU"/>
                  </w:rPr>
                  <w:tab/>
                </w:r>
                <w:r w:rsidR="007D394B" w:rsidRPr="00D649BD">
                  <w:rPr>
                    <w:rStyle w:val="Hyperlink"/>
                  </w:rPr>
                  <w:t>EES purpose</w:t>
                </w:r>
                <w:r w:rsidR="007D394B">
                  <w:rPr>
                    <w:webHidden/>
                  </w:rPr>
                  <w:tab/>
                </w:r>
                <w:r w:rsidR="007D394B">
                  <w:rPr>
                    <w:webHidden/>
                  </w:rPr>
                  <w:fldChar w:fldCharType="begin"/>
                </w:r>
                <w:r w:rsidR="007D394B">
                  <w:rPr>
                    <w:webHidden/>
                  </w:rPr>
                  <w:instrText xml:space="preserve"> PAGEREF _Toc72230965 \h </w:instrText>
                </w:r>
                <w:r w:rsidR="007D394B">
                  <w:rPr>
                    <w:webHidden/>
                  </w:rPr>
                </w:r>
                <w:r w:rsidR="007D394B">
                  <w:rPr>
                    <w:webHidden/>
                  </w:rPr>
                  <w:fldChar w:fldCharType="separate"/>
                </w:r>
                <w:r w:rsidR="007D394B">
                  <w:rPr>
                    <w:webHidden/>
                  </w:rPr>
                  <w:t>5-2</w:t>
                </w:r>
                <w:r w:rsidR="007D394B">
                  <w:rPr>
                    <w:webHidden/>
                  </w:rPr>
                  <w:fldChar w:fldCharType="end"/>
                </w:r>
              </w:hyperlink>
            </w:p>
            <w:p w14:paraId="10C72EED" w14:textId="2D8D80D8" w:rsidR="007D394B" w:rsidRDefault="009A087F">
              <w:pPr>
                <w:pStyle w:val="TOC3"/>
                <w:rPr>
                  <w:rFonts w:eastAsiaTheme="minorEastAsia"/>
                  <w:sz w:val="22"/>
                  <w:lang w:eastAsia="en-AU"/>
                </w:rPr>
              </w:pPr>
              <w:hyperlink w:anchor="_Toc72230966" w:history="1">
                <w:r w:rsidR="007D394B" w:rsidRPr="00D649BD">
                  <w:rPr>
                    <w:rStyle w:val="Hyperlink"/>
                  </w:rPr>
                  <w:t>5.3.2</w:t>
                </w:r>
                <w:r w:rsidR="007D394B">
                  <w:rPr>
                    <w:rFonts w:eastAsiaTheme="minorEastAsia"/>
                    <w:sz w:val="22"/>
                    <w:lang w:eastAsia="en-AU"/>
                  </w:rPr>
                  <w:tab/>
                </w:r>
                <w:r w:rsidR="007D394B" w:rsidRPr="00D649BD">
                  <w:rPr>
                    <w:rStyle w:val="Hyperlink"/>
                  </w:rPr>
                  <w:t>Implications for the Project</w:t>
                </w:r>
                <w:r w:rsidR="007D394B">
                  <w:rPr>
                    <w:webHidden/>
                  </w:rPr>
                  <w:tab/>
                </w:r>
                <w:r w:rsidR="007D394B">
                  <w:rPr>
                    <w:webHidden/>
                  </w:rPr>
                  <w:fldChar w:fldCharType="begin"/>
                </w:r>
                <w:r w:rsidR="007D394B">
                  <w:rPr>
                    <w:webHidden/>
                  </w:rPr>
                  <w:instrText xml:space="preserve"> PAGEREF _Toc72230966 \h </w:instrText>
                </w:r>
                <w:r w:rsidR="007D394B">
                  <w:rPr>
                    <w:webHidden/>
                  </w:rPr>
                </w:r>
                <w:r w:rsidR="007D394B">
                  <w:rPr>
                    <w:webHidden/>
                  </w:rPr>
                  <w:fldChar w:fldCharType="separate"/>
                </w:r>
                <w:r w:rsidR="007D394B">
                  <w:rPr>
                    <w:webHidden/>
                  </w:rPr>
                  <w:t>5-3</w:t>
                </w:r>
                <w:r w:rsidR="007D394B">
                  <w:rPr>
                    <w:webHidden/>
                  </w:rPr>
                  <w:fldChar w:fldCharType="end"/>
                </w:r>
              </w:hyperlink>
            </w:p>
            <w:p w14:paraId="445FFCDC" w14:textId="35B36E8E" w:rsidR="007D394B" w:rsidRDefault="009A087F">
              <w:pPr>
                <w:pStyle w:val="TOC2"/>
                <w:rPr>
                  <w:rFonts w:eastAsiaTheme="minorEastAsia"/>
                  <w:color w:val="auto"/>
                  <w:sz w:val="22"/>
                  <w:lang w:eastAsia="en-AU"/>
                </w:rPr>
              </w:pPr>
              <w:hyperlink w:anchor="_Toc72230967" w:history="1">
                <w:r w:rsidR="007D394B" w:rsidRPr="00D649BD">
                  <w:rPr>
                    <w:rStyle w:val="Hyperlink"/>
                  </w:rPr>
                  <w:t>5.4</w:t>
                </w:r>
                <w:r w:rsidR="007D394B">
                  <w:rPr>
                    <w:rFonts w:eastAsiaTheme="minorEastAsia"/>
                    <w:color w:val="auto"/>
                    <w:sz w:val="22"/>
                    <w:lang w:eastAsia="en-AU"/>
                  </w:rPr>
                  <w:tab/>
                </w:r>
                <w:r w:rsidR="007D394B" w:rsidRPr="00D649BD">
                  <w:rPr>
                    <w:rStyle w:val="Hyperlink"/>
                  </w:rPr>
                  <w:t>Principal approvals legislation</w:t>
                </w:r>
                <w:r w:rsidR="007D394B">
                  <w:rPr>
                    <w:webHidden/>
                  </w:rPr>
                  <w:tab/>
                </w:r>
                <w:r w:rsidR="007D394B">
                  <w:rPr>
                    <w:webHidden/>
                  </w:rPr>
                  <w:fldChar w:fldCharType="begin"/>
                </w:r>
                <w:r w:rsidR="007D394B">
                  <w:rPr>
                    <w:webHidden/>
                  </w:rPr>
                  <w:instrText xml:space="preserve"> PAGEREF _Toc72230967 \h </w:instrText>
                </w:r>
                <w:r w:rsidR="007D394B">
                  <w:rPr>
                    <w:webHidden/>
                  </w:rPr>
                </w:r>
                <w:r w:rsidR="007D394B">
                  <w:rPr>
                    <w:webHidden/>
                  </w:rPr>
                  <w:fldChar w:fldCharType="separate"/>
                </w:r>
                <w:r w:rsidR="007D394B">
                  <w:rPr>
                    <w:webHidden/>
                  </w:rPr>
                  <w:t>5-3</w:t>
                </w:r>
                <w:r w:rsidR="007D394B">
                  <w:rPr>
                    <w:webHidden/>
                  </w:rPr>
                  <w:fldChar w:fldCharType="end"/>
                </w:r>
              </w:hyperlink>
            </w:p>
            <w:p w14:paraId="317457B1" w14:textId="0EAE65DC" w:rsidR="007D394B" w:rsidRDefault="009A087F">
              <w:pPr>
                <w:pStyle w:val="TOC3"/>
                <w:rPr>
                  <w:rFonts w:eastAsiaTheme="minorEastAsia"/>
                  <w:sz w:val="22"/>
                  <w:lang w:eastAsia="en-AU"/>
                </w:rPr>
              </w:pPr>
              <w:hyperlink w:anchor="_Toc72230968" w:history="1">
                <w:r w:rsidR="007D394B" w:rsidRPr="00D649BD">
                  <w:rPr>
                    <w:rStyle w:val="Hyperlink"/>
                  </w:rPr>
                  <w:t>5.4.1</w:t>
                </w:r>
                <w:r w:rsidR="007D394B">
                  <w:rPr>
                    <w:rFonts w:eastAsiaTheme="minorEastAsia"/>
                    <w:sz w:val="22"/>
                    <w:lang w:eastAsia="en-AU"/>
                  </w:rPr>
                  <w:tab/>
                </w:r>
                <w:r w:rsidR="007D394B" w:rsidRPr="00D649BD">
                  <w:rPr>
                    <w:rStyle w:val="Hyperlink"/>
                    <w:i/>
                  </w:rPr>
                  <w:t>Environment Protection and Biodiversity Conservation Act 1999</w:t>
                </w:r>
                <w:r w:rsidR="007D394B" w:rsidRPr="00D649BD">
                  <w:rPr>
                    <w:rStyle w:val="Hyperlink"/>
                  </w:rPr>
                  <w:t xml:space="preserve"> (Cth)</w:t>
                </w:r>
                <w:r w:rsidR="007D394B">
                  <w:rPr>
                    <w:webHidden/>
                  </w:rPr>
                  <w:tab/>
                </w:r>
                <w:r w:rsidR="007D394B">
                  <w:rPr>
                    <w:webHidden/>
                  </w:rPr>
                  <w:fldChar w:fldCharType="begin"/>
                </w:r>
                <w:r w:rsidR="007D394B">
                  <w:rPr>
                    <w:webHidden/>
                  </w:rPr>
                  <w:instrText xml:space="preserve"> PAGEREF _Toc72230968 \h </w:instrText>
                </w:r>
                <w:r w:rsidR="007D394B">
                  <w:rPr>
                    <w:webHidden/>
                  </w:rPr>
                </w:r>
                <w:r w:rsidR="007D394B">
                  <w:rPr>
                    <w:webHidden/>
                  </w:rPr>
                  <w:fldChar w:fldCharType="separate"/>
                </w:r>
                <w:r w:rsidR="007D394B">
                  <w:rPr>
                    <w:webHidden/>
                  </w:rPr>
                  <w:t>5-3</w:t>
                </w:r>
                <w:r w:rsidR="007D394B">
                  <w:rPr>
                    <w:webHidden/>
                  </w:rPr>
                  <w:fldChar w:fldCharType="end"/>
                </w:r>
              </w:hyperlink>
            </w:p>
            <w:p w14:paraId="5754FDFC" w14:textId="51F8939E" w:rsidR="007D394B" w:rsidRDefault="009A087F">
              <w:pPr>
                <w:pStyle w:val="TOC3"/>
                <w:rPr>
                  <w:rFonts w:eastAsiaTheme="minorEastAsia"/>
                  <w:sz w:val="22"/>
                  <w:lang w:eastAsia="en-AU"/>
                </w:rPr>
              </w:pPr>
              <w:hyperlink w:anchor="_Toc72230969" w:history="1">
                <w:r w:rsidR="007D394B" w:rsidRPr="00D649BD">
                  <w:rPr>
                    <w:rStyle w:val="Hyperlink"/>
                  </w:rPr>
                  <w:t>5.4.2</w:t>
                </w:r>
                <w:r w:rsidR="007D394B">
                  <w:rPr>
                    <w:rFonts w:eastAsiaTheme="minorEastAsia"/>
                    <w:sz w:val="22"/>
                    <w:lang w:eastAsia="en-AU"/>
                  </w:rPr>
                  <w:tab/>
                </w:r>
                <w:r w:rsidR="007D394B" w:rsidRPr="00D649BD">
                  <w:rPr>
                    <w:rStyle w:val="Hyperlink"/>
                  </w:rPr>
                  <w:t>Pipelines Act 2005 (Vic)</w:t>
                </w:r>
                <w:r w:rsidR="007D394B">
                  <w:rPr>
                    <w:webHidden/>
                  </w:rPr>
                  <w:tab/>
                </w:r>
                <w:r w:rsidR="007D394B">
                  <w:rPr>
                    <w:webHidden/>
                  </w:rPr>
                  <w:fldChar w:fldCharType="begin"/>
                </w:r>
                <w:r w:rsidR="007D394B">
                  <w:rPr>
                    <w:webHidden/>
                  </w:rPr>
                  <w:instrText xml:space="preserve"> PAGEREF _Toc72230969 \h </w:instrText>
                </w:r>
                <w:r w:rsidR="007D394B">
                  <w:rPr>
                    <w:webHidden/>
                  </w:rPr>
                </w:r>
                <w:r w:rsidR="007D394B">
                  <w:rPr>
                    <w:webHidden/>
                  </w:rPr>
                  <w:fldChar w:fldCharType="separate"/>
                </w:r>
                <w:r w:rsidR="007D394B">
                  <w:rPr>
                    <w:webHidden/>
                  </w:rPr>
                  <w:t>5-6</w:t>
                </w:r>
                <w:r w:rsidR="007D394B">
                  <w:rPr>
                    <w:webHidden/>
                  </w:rPr>
                  <w:fldChar w:fldCharType="end"/>
                </w:r>
              </w:hyperlink>
            </w:p>
            <w:p w14:paraId="72A0A0D5" w14:textId="2B5E87E1" w:rsidR="007D394B" w:rsidRDefault="009A087F">
              <w:pPr>
                <w:pStyle w:val="TOC3"/>
                <w:rPr>
                  <w:rFonts w:eastAsiaTheme="minorEastAsia"/>
                  <w:sz w:val="22"/>
                  <w:lang w:eastAsia="en-AU"/>
                </w:rPr>
              </w:pPr>
              <w:hyperlink w:anchor="_Toc72230970" w:history="1">
                <w:r w:rsidR="007D394B" w:rsidRPr="00D649BD">
                  <w:rPr>
                    <w:rStyle w:val="Hyperlink"/>
                  </w:rPr>
                  <w:t>5.4.3</w:t>
                </w:r>
                <w:r w:rsidR="007D394B">
                  <w:rPr>
                    <w:rFonts w:eastAsiaTheme="minorEastAsia"/>
                    <w:sz w:val="22"/>
                    <w:lang w:eastAsia="en-AU"/>
                  </w:rPr>
                  <w:tab/>
                </w:r>
                <w:r w:rsidR="007D394B" w:rsidRPr="00D649BD">
                  <w:rPr>
                    <w:rStyle w:val="Hyperlink"/>
                    <w:i/>
                  </w:rPr>
                  <w:t xml:space="preserve">Aboriginal Heritage Act 2006 </w:t>
                </w:r>
                <w:r w:rsidR="007D394B" w:rsidRPr="00D649BD">
                  <w:rPr>
                    <w:rStyle w:val="Hyperlink"/>
                  </w:rPr>
                  <w:t>(Vic)</w:t>
                </w:r>
                <w:r w:rsidR="007D394B">
                  <w:rPr>
                    <w:webHidden/>
                  </w:rPr>
                  <w:tab/>
                </w:r>
                <w:r w:rsidR="007D394B">
                  <w:rPr>
                    <w:webHidden/>
                  </w:rPr>
                  <w:fldChar w:fldCharType="begin"/>
                </w:r>
                <w:r w:rsidR="007D394B">
                  <w:rPr>
                    <w:webHidden/>
                  </w:rPr>
                  <w:instrText xml:space="preserve"> PAGEREF _Toc72230970 \h </w:instrText>
                </w:r>
                <w:r w:rsidR="007D394B">
                  <w:rPr>
                    <w:webHidden/>
                  </w:rPr>
                </w:r>
                <w:r w:rsidR="007D394B">
                  <w:rPr>
                    <w:webHidden/>
                  </w:rPr>
                  <w:fldChar w:fldCharType="separate"/>
                </w:r>
                <w:r w:rsidR="007D394B">
                  <w:rPr>
                    <w:webHidden/>
                  </w:rPr>
                  <w:t>5-8</w:t>
                </w:r>
                <w:r w:rsidR="007D394B">
                  <w:rPr>
                    <w:webHidden/>
                  </w:rPr>
                  <w:fldChar w:fldCharType="end"/>
                </w:r>
              </w:hyperlink>
            </w:p>
            <w:p w14:paraId="174707FD" w14:textId="4841AE53" w:rsidR="007D394B" w:rsidRDefault="009A087F">
              <w:pPr>
                <w:pStyle w:val="TOC2"/>
                <w:rPr>
                  <w:rFonts w:eastAsiaTheme="minorEastAsia"/>
                  <w:color w:val="auto"/>
                  <w:sz w:val="22"/>
                  <w:lang w:eastAsia="en-AU"/>
                </w:rPr>
              </w:pPr>
              <w:hyperlink w:anchor="_Toc72230971" w:history="1">
                <w:r w:rsidR="007D394B" w:rsidRPr="00D649BD">
                  <w:rPr>
                    <w:rStyle w:val="Hyperlink"/>
                  </w:rPr>
                  <w:t>5.5</w:t>
                </w:r>
                <w:r w:rsidR="007D394B">
                  <w:rPr>
                    <w:rFonts w:eastAsiaTheme="minorEastAsia"/>
                    <w:color w:val="auto"/>
                    <w:sz w:val="22"/>
                    <w:lang w:eastAsia="en-AU"/>
                  </w:rPr>
                  <w:tab/>
                </w:r>
                <w:r w:rsidR="007D394B" w:rsidRPr="00D649BD">
                  <w:rPr>
                    <w:rStyle w:val="Hyperlink"/>
                  </w:rPr>
                  <w:t>Secondary approvals legislation</w:t>
                </w:r>
                <w:r w:rsidR="007D394B">
                  <w:rPr>
                    <w:webHidden/>
                  </w:rPr>
                  <w:tab/>
                </w:r>
                <w:r w:rsidR="007D394B">
                  <w:rPr>
                    <w:webHidden/>
                  </w:rPr>
                  <w:fldChar w:fldCharType="begin"/>
                </w:r>
                <w:r w:rsidR="007D394B">
                  <w:rPr>
                    <w:webHidden/>
                  </w:rPr>
                  <w:instrText xml:space="preserve"> PAGEREF _Toc72230971 \h </w:instrText>
                </w:r>
                <w:r w:rsidR="007D394B">
                  <w:rPr>
                    <w:webHidden/>
                  </w:rPr>
                </w:r>
                <w:r w:rsidR="007D394B">
                  <w:rPr>
                    <w:webHidden/>
                  </w:rPr>
                  <w:fldChar w:fldCharType="separate"/>
                </w:r>
                <w:r w:rsidR="007D394B">
                  <w:rPr>
                    <w:webHidden/>
                  </w:rPr>
                  <w:t>5-8</w:t>
                </w:r>
                <w:r w:rsidR="007D394B">
                  <w:rPr>
                    <w:webHidden/>
                  </w:rPr>
                  <w:fldChar w:fldCharType="end"/>
                </w:r>
              </w:hyperlink>
            </w:p>
            <w:p w14:paraId="1B0A2B16" w14:textId="04E8707E" w:rsidR="007D394B" w:rsidRDefault="009A087F">
              <w:pPr>
                <w:pStyle w:val="TOC3"/>
                <w:rPr>
                  <w:rFonts w:eastAsiaTheme="minorEastAsia"/>
                  <w:sz w:val="22"/>
                  <w:lang w:eastAsia="en-AU"/>
                </w:rPr>
              </w:pPr>
              <w:hyperlink w:anchor="_Toc72230972" w:history="1">
                <w:r w:rsidR="007D394B" w:rsidRPr="00D649BD">
                  <w:rPr>
                    <w:rStyle w:val="Hyperlink"/>
                  </w:rPr>
                  <w:t>5.5.1</w:t>
                </w:r>
                <w:r w:rsidR="007D394B">
                  <w:rPr>
                    <w:rFonts w:eastAsiaTheme="minorEastAsia"/>
                    <w:sz w:val="22"/>
                    <w:lang w:eastAsia="en-AU"/>
                  </w:rPr>
                  <w:tab/>
                </w:r>
                <w:r w:rsidR="007D394B" w:rsidRPr="00D649BD">
                  <w:rPr>
                    <w:rStyle w:val="Hyperlink"/>
                    <w:i/>
                  </w:rPr>
                  <w:t>Flora and Fauna Guarantee Act 1988</w:t>
                </w:r>
                <w:r w:rsidR="007D394B" w:rsidRPr="00D649BD">
                  <w:rPr>
                    <w:rStyle w:val="Hyperlink"/>
                  </w:rPr>
                  <w:t xml:space="preserve"> (Vic)</w:t>
                </w:r>
                <w:r w:rsidR="007D394B">
                  <w:rPr>
                    <w:webHidden/>
                  </w:rPr>
                  <w:tab/>
                </w:r>
                <w:r w:rsidR="007D394B">
                  <w:rPr>
                    <w:webHidden/>
                  </w:rPr>
                  <w:fldChar w:fldCharType="begin"/>
                </w:r>
                <w:r w:rsidR="007D394B">
                  <w:rPr>
                    <w:webHidden/>
                  </w:rPr>
                  <w:instrText xml:space="preserve"> PAGEREF _Toc72230972 \h </w:instrText>
                </w:r>
                <w:r w:rsidR="007D394B">
                  <w:rPr>
                    <w:webHidden/>
                  </w:rPr>
                </w:r>
                <w:r w:rsidR="007D394B">
                  <w:rPr>
                    <w:webHidden/>
                  </w:rPr>
                  <w:fldChar w:fldCharType="separate"/>
                </w:r>
                <w:r w:rsidR="007D394B">
                  <w:rPr>
                    <w:webHidden/>
                  </w:rPr>
                  <w:t>5-8</w:t>
                </w:r>
                <w:r w:rsidR="007D394B">
                  <w:rPr>
                    <w:webHidden/>
                  </w:rPr>
                  <w:fldChar w:fldCharType="end"/>
                </w:r>
              </w:hyperlink>
            </w:p>
            <w:p w14:paraId="7023AAFA" w14:textId="2E8930F4" w:rsidR="007D394B" w:rsidRDefault="009A087F">
              <w:pPr>
                <w:pStyle w:val="TOC3"/>
                <w:rPr>
                  <w:rFonts w:eastAsiaTheme="minorEastAsia"/>
                  <w:sz w:val="22"/>
                  <w:lang w:eastAsia="en-AU"/>
                </w:rPr>
              </w:pPr>
              <w:hyperlink w:anchor="_Toc72230973" w:history="1">
                <w:r w:rsidR="007D394B" w:rsidRPr="00D649BD">
                  <w:rPr>
                    <w:rStyle w:val="Hyperlink"/>
                  </w:rPr>
                  <w:t>5.5.2</w:t>
                </w:r>
                <w:r w:rsidR="007D394B">
                  <w:rPr>
                    <w:rFonts w:eastAsiaTheme="minorEastAsia"/>
                    <w:sz w:val="22"/>
                    <w:lang w:eastAsia="en-AU"/>
                  </w:rPr>
                  <w:tab/>
                </w:r>
                <w:r w:rsidR="007D394B" w:rsidRPr="00D649BD">
                  <w:rPr>
                    <w:rStyle w:val="Hyperlink"/>
                    <w:i/>
                  </w:rPr>
                  <w:t>Water Act 1989</w:t>
                </w:r>
                <w:r w:rsidR="007D394B" w:rsidRPr="00D649BD">
                  <w:rPr>
                    <w:rStyle w:val="Hyperlink"/>
                  </w:rPr>
                  <w:t xml:space="preserve"> (Vic)</w:t>
                </w:r>
                <w:r w:rsidR="007D394B">
                  <w:rPr>
                    <w:webHidden/>
                  </w:rPr>
                  <w:tab/>
                </w:r>
                <w:r w:rsidR="007D394B">
                  <w:rPr>
                    <w:webHidden/>
                  </w:rPr>
                  <w:fldChar w:fldCharType="begin"/>
                </w:r>
                <w:r w:rsidR="007D394B">
                  <w:rPr>
                    <w:webHidden/>
                  </w:rPr>
                  <w:instrText xml:space="preserve"> PAGEREF _Toc72230973 \h </w:instrText>
                </w:r>
                <w:r w:rsidR="007D394B">
                  <w:rPr>
                    <w:webHidden/>
                  </w:rPr>
                </w:r>
                <w:r w:rsidR="007D394B">
                  <w:rPr>
                    <w:webHidden/>
                  </w:rPr>
                  <w:fldChar w:fldCharType="separate"/>
                </w:r>
                <w:r w:rsidR="007D394B">
                  <w:rPr>
                    <w:webHidden/>
                  </w:rPr>
                  <w:t>5-9</w:t>
                </w:r>
                <w:r w:rsidR="007D394B">
                  <w:rPr>
                    <w:webHidden/>
                  </w:rPr>
                  <w:fldChar w:fldCharType="end"/>
                </w:r>
              </w:hyperlink>
            </w:p>
            <w:p w14:paraId="23633DAC" w14:textId="57D90555" w:rsidR="007D394B" w:rsidRDefault="009A087F">
              <w:pPr>
                <w:pStyle w:val="TOC3"/>
                <w:rPr>
                  <w:rFonts w:eastAsiaTheme="minorEastAsia"/>
                  <w:sz w:val="22"/>
                  <w:lang w:eastAsia="en-AU"/>
                </w:rPr>
              </w:pPr>
              <w:hyperlink w:anchor="_Toc72230974" w:history="1">
                <w:r w:rsidR="007D394B" w:rsidRPr="00D649BD">
                  <w:rPr>
                    <w:rStyle w:val="Hyperlink"/>
                  </w:rPr>
                  <w:t>5.5.3</w:t>
                </w:r>
                <w:r w:rsidR="007D394B">
                  <w:rPr>
                    <w:rFonts w:eastAsiaTheme="minorEastAsia"/>
                    <w:sz w:val="22"/>
                    <w:lang w:eastAsia="en-AU"/>
                  </w:rPr>
                  <w:tab/>
                </w:r>
                <w:r w:rsidR="007D394B" w:rsidRPr="00D649BD">
                  <w:rPr>
                    <w:rStyle w:val="Hyperlink"/>
                    <w:i/>
                  </w:rPr>
                  <w:t xml:space="preserve">Gas Safety Act 1997 </w:t>
                </w:r>
                <w:r w:rsidR="007D394B" w:rsidRPr="00D649BD">
                  <w:rPr>
                    <w:rStyle w:val="Hyperlink"/>
                  </w:rPr>
                  <w:t>(Vic)</w:t>
                </w:r>
                <w:r w:rsidR="007D394B">
                  <w:rPr>
                    <w:webHidden/>
                  </w:rPr>
                  <w:tab/>
                </w:r>
                <w:r w:rsidR="007D394B">
                  <w:rPr>
                    <w:webHidden/>
                  </w:rPr>
                  <w:fldChar w:fldCharType="begin"/>
                </w:r>
                <w:r w:rsidR="007D394B">
                  <w:rPr>
                    <w:webHidden/>
                  </w:rPr>
                  <w:instrText xml:space="preserve"> PAGEREF _Toc72230974 \h </w:instrText>
                </w:r>
                <w:r w:rsidR="007D394B">
                  <w:rPr>
                    <w:webHidden/>
                  </w:rPr>
                </w:r>
                <w:r w:rsidR="007D394B">
                  <w:rPr>
                    <w:webHidden/>
                  </w:rPr>
                  <w:fldChar w:fldCharType="separate"/>
                </w:r>
                <w:r w:rsidR="007D394B">
                  <w:rPr>
                    <w:webHidden/>
                  </w:rPr>
                  <w:t>5-9</w:t>
                </w:r>
                <w:r w:rsidR="007D394B">
                  <w:rPr>
                    <w:webHidden/>
                  </w:rPr>
                  <w:fldChar w:fldCharType="end"/>
                </w:r>
              </w:hyperlink>
            </w:p>
            <w:p w14:paraId="3141A4E9" w14:textId="5A976BE8" w:rsidR="007D394B" w:rsidRDefault="009A087F">
              <w:pPr>
                <w:pStyle w:val="TOC3"/>
                <w:rPr>
                  <w:rFonts w:eastAsiaTheme="minorEastAsia"/>
                  <w:sz w:val="22"/>
                  <w:lang w:eastAsia="en-AU"/>
                </w:rPr>
              </w:pPr>
              <w:hyperlink w:anchor="_Toc72230975" w:history="1">
                <w:r w:rsidR="007D394B" w:rsidRPr="00D649BD">
                  <w:rPr>
                    <w:rStyle w:val="Hyperlink"/>
                  </w:rPr>
                  <w:t>5.5.4</w:t>
                </w:r>
                <w:r w:rsidR="007D394B">
                  <w:rPr>
                    <w:rFonts w:eastAsiaTheme="minorEastAsia"/>
                    <w:sz w:val="22"/>
                    <w:lang w:eastAsia="en-AU"/>
                  </w:rPr>
                  <w:tab/>
                </w:r>
                <w:r w:rsidR="007D394B" w:rsidRPr="00D649BD">
                  <w:rPr>
                    <w:rStyle w:val="Hyperlink"/>
                    <w:i/>
                  </w:rPr>
                  <w:t>Heritage Act 2017</w:t>
                </w:r>
                <w:r w:rsidR="007D394B" w:rsidRPr="00D649BD">
                  <w:rPr>
                    <w:rStyle w:val="Hyperlink"/>
                  </w:rPr>
                  <w:t xml:space="preserve"> (Vic)</w:t>
                </w:r>
                <w:r w:rsidR="007D394B">
                  <w:rPr>
                    <w:webHidden/>
                  </w:rPr>
                  <w:tab/>
                </w:r>
                <w:r w:rsidR="007D394B">
                  <w:rPr>
                    <w:webHidden/>
                  </w:rPr>
                  <w:fldChar w:fldCharType="begin"/>
                </w:r>
                <w:r w:rsidR="007D394B">
                  <w:rPr>
                    <w:webHidden/>
                  </w:rPr>
                  <w:instrText xml:space="preserve"> PAGEREF _Toc72230975 \h </w:instrText>
                </w:r>
                <w:r w:rsidR="007D394B">
                  <w:rPr>
                    <w:webHidden/>
                  </w:rPr>
                </w:r>
                <w:r w:rsidR="007D394B">
                  <w:rPr>
                    <w:webHidden/>
                  </w:rPr>
                  <w:fldChar w:fldCharType="separate"/>
                </w:r>
                <w:r w:rsidR="007D394B">
                  <w:rPr>
                    <w:webHidden/>
                  </w:rPr>
                  <w:t>5-9</w:t>
                </w:r>
                <w:r w:rsidR="007D394B">
                  <w:rPr>
                    <w:webHidden/>
                  </w:rPr>
                  <w:fldChar w:fldCharType="end"/>
                </w:r>
              </w:hyperlink>
            </w:p>
            <w:p w14:paraId="3E6045AD" w14:textId="66E25C14" w:rsidR="007D394B" w:rsidRDefault="009A087F">
              <w:pPr>
                <w:pStyle w:val="TOC2"/>
                <w:rPr>
                  <w:rFonts w:eastAsiaTheme="minorEastAsia"/>
                  <w:color w:val="auto"/>
                  <w:sz w:val="22"/>
                  <w:lang w:eastAsia="en-AU"/>
                </w:rPr>
              </w:pPr>
              <w:hyperlink w:anchor="_Toc72230976" w:history="1">
                <w:r w:rsidR="007D394B" w:rsidRPr="00D649BD">
                  <w:rPr>
                    <w:rStyle w:val="Hyperlink"/>
                  </w:rPr>
                  <w:t>5.6</w:t>
                </w:r>
                <w:r w:rsidR="007D394B">
                  <w:rPr>
                    <w:rFonts w:eastAsiaTheme="minorEastAsia"/>
                    <w:color w:val="auto"/>
                    <w:sz w:val="22"/>
                    <w:lang w:eastAsia="en-AU"/>
                  </w:rPr>
                  <w:tab/>
                </w:r>
                <w:r w:rsidR="007D394B" w:rsidRPr="00D649BD">
                  <w:rPr>
                    <w:rStyle w:val="Hyperlink"/>
                  </w:rPr>
                  <w:t>Other applicable legislation</w:t>
                </w:r>
                <w:r w:rsidR="007D394B">
                  <w:rPr>
                    <w:webHidden/>
                  </w:rPr>
                  <w:tab/>
                </w:r>
                <w:r w:rsidR="007D394B">
                  <w:rPr>
                    <w:webHidden/>
                  </w:rPr>
                  <w:fldChar w:fldCharType="begin"/>
                </w:r>
                <w:r w:rsidR="007D394B">
                  <w:rPr>
                    <w:webHidden/>
                  </w:rPr>
                  <w:instrText xml:space="preserve"> PAGEREF _Toc72230976 \h </w:instrText>
                </w:r>
                <w:r w:rsidR="007D394B">
                  <w:rPr>
                    <w:webHidden/>
                  </w:rPr>
                </w:r>
                <w:r w:rsidR="007D394B">
                  <w:rPr>
                    <w:webHidden/>
                  </w:rPr>
                  <w:fldChar w:fldCharType="separate"/>
                </w:r>
                <w:r w:rsidR="007D394B">
                  <w:rPr>
                    <w:webHidden/>
                  </w:rPr>
                  <w:t>5-10</w:t>
                </w:r>
                <w:r w:rsidR="007D394B">
                  <w:rPr>
                    <w:webHidden/>
                  </w:rPr>
                  <w:fldChar w:fldCharType="end"/>
                </w:r>
              </w:hyperlink>
            </w:p>
            <w:p w14:paraId="0E5DDF2F" w14:textId="0FAB7C4D" w:rsidR="007D394B" w:rsidRDefault="009A087F">
              <w:pPr>
                <w:pStyle w:val="TOC3"/>
                <w:rPr>
                  <w:rFonts w:eastAsiaTheme="minorEastAsia"/>
                  <w:sz w:val="22"/>
                  <w:lang w:eastAsia="en-AU"/>
                </w:rPr>
              </w:pPr>
              <w:hyperlink w:anchor="_Toc72230977" w:history="1">
                <w:r w:rsidR="007D394B" w:rsidRPr="00D649BD">
                  <w:rPr>
                    <w:rStyle w:val="Hyperlink"/>
                  </w:rPr>
                  <w:t>5.6.1</w:t>
                </w:r>
                <w:r w:rsidR="007D394B">
                  <w:rPr>
                    <w:rFonts w:eastAsiaTheme="minorEastAsia"/>
                    <w:sz w:val="22"/>
                    <w:lang w:eastAsia="en-AU"/>
                  </w:rPr>
                  <w:tab/>
                </w:r>
                <w:r w:rsidR="007D394B" w:rsidRPr="00D649BD">
                  <w:rPr>
                    <w:rStyle w:val="Hyperlink"/>
                  </w:rPr>
                  <w:t>Environment Protection Act 1970 (Vic) and Environment Protection Act 2017 (Vic)</w:t>
                </w:r>
                <w:r w:rsidR="007D394B">
                  <w:rPr>
                    <w:webHidden/>
                  </w:rPr>
                  <w:tab/>
                </w:r>
                <w:r w:rsidR="007D394B">
                  <w:rPr>
                    <w:webHidden/>
                  </w:rPr>
                  <w:fldChar w:fldCharType="begin"/>
                </w:r>
                <w:r w:rsidR="007D394B">
                  <w:rPr>
                    <w:webHidden/>
                  </w:rPr>
                  <w:instrText xml:space="preserve"> PAGEREF _Toc72230977 \h </w:instrText>
                </w:r>
                <w:r w:rsidR="007D394B">
                  <w:rPr>
                    <w:webHidden/>
                  </w:rPr>
                </w:r>
                <w:r w:rsidR="007D394B">
                  <w:rPr>
                    <w:webHidden/>
                  </w:rPr>
                  <w:fldChar w:fldCharType="separate"/>
                </w:r>
                <w:r w:rsidR="007D394B">
                  <w:rPr>
                    <w:webHidden/>
                  </w:rPr>
                  <w:t>5-10</w:t>
                </w:r>
                <w:r w:rsidR="007D394B">
                  <w:rPr>
                    <w:webHidden/>
                  </w:rPr>
                  <w:fldChar w:fldCharType="end"/>
                </w:r>
              </w:hyperlink>
            </w:p>
            <w:p w14:paraId="4247BFAD" w14:textId="3D1821AA" w:rsidR="007D394B" w:rsidRDefault="009A087F">
              <w:pPr>
                <w:pStyle w:val="TOC2"/>
                <w:rPr>
                  <w:rFonts w:eastAsiaTheme="minorEastAsia"/>
                  <w:color w:val="auto"/>
                  <w:sz w:val="22"/>
                  <w:lang w:eastAsia="en-AU"/>
                </w:rPr>
              </w:pPr>
              <w:hyperlink w:anchor="_Toc72230978" w:history="1">
                <w:r w:rsidR="007D394B" w:rsidRPr="00D649BD">
                  <w:rPr>
                    <w:rStyle w:val="Hyperlink"/>
                  </w:rPr>
                  <w:t>5.7</w:t>
                </w:r>
                <w:r w:rsidR="007D394B">
                  <w:rPr>
                    <w:rFonts w:eastAsiaTheme="minorEastAsia"/>
                    <w:color w:val="auto"/>
                    <w:sz w:val="22"/>
                    <w:lang w:eastAsia="en-AU"/>
                  </w:rPr>
                  <w:tab/>
                </w:r>
                <w:r w:rsidR="007D394B" w:rsidRPr="00D649BD">
                  <w:rPr>
                    <w:rStyle w:val="Hyperlink"/>
                  </w:rPr>
                  <w:t>Overview of the EES assessment framework</w:t>
                </w:r>
                <w:r w:rsidR="007D394B">
                  <w:rPr>
                    <w:webHidden/>
                  </w:rPr>
                  <w:tab/>
                </w:r>
                <w:r w:rsidR="007D394B">
                  <w:rPr>
                    <w:webHidden/>
                  </w:rPr>
                  <w:fldChar w:fldCharType="begin"/>
                </w:r>
                <w:r w:rsidR="007D394B">
                  <w:rPr>
                    <w:webHidden/>
                  </w:rPr>
                  <w:instrText xml:space="preserve"> PAGEREF _Toc72230978 \h </w:instrText>
                </w:r>
                <w:r w:rsidR="007D394B">
                  <w:rPr>
                    <w:webHidden/>
                  </w:rPr>
                </w:r>
                <w:r w:rsidR="007D394B">
                  <w:rPr>
                    <w:webHidden/>
                  </w:rPr>
                  <w:fldChar w:fldCharType="separate"/>
                </w:r>
                <w:r w:rsidR="007D394B">
                  <w:rPr>
                    <w:webHidden/>
                  </w:rPr>
                  <w:t>5-11</w:t>
                </w:r>
                <w:r w:rsidR="007D394B">
                  <w:rPr>
                    <w:webHidden/>
                  </w:rPr>
                  <w:fldChar w:fldCharType="end"/>
                </w:r>
              </w:hyperlink>
            </w:p>
            <w:p w14:paraId="55913320" w14:textId="0D061CC6" w:rsidR="007D394B" w:rsidRDefault="009A087F">
              <w:pPr>
                <w:pStyle w:val="TOC2"/>
                <w:rPr>
                  <w:rFonts w:eastAsiaTheme="minorEastAsia"/>
                  <w:color w:val="auto"/>
                  <w:sz w:val="22"/>
                  <w:lang w:eastAsia="en-AU"/>
                </w:rPr>
              </w:pPr>
              <w:hyperlink w:anchor="_Toc72230979" w:history="1">
                <w:r w:rsidR="007D394B" w:rsidRPr="00D649BD">
                  <w:rPr>
                    <w:rStyle w:val="Hyperlink"/>
                  </w:rPr>
                  <w:t>5.8</w:t>
                </w:r>
                <w:r w:rsidR="007D394B">
                  <w:rPr>
                    <w:rFonts w:eastAsiaTheme="minorEastAsia"/>
                    <w:color w:val="auto"/>
                    <w:sz w:val="22"/>
                    <w:lang w:eastAsia="en-AU"/>
                  </w:rPr>
                  <w:tab/>
                </w:r>
                <w:r w:rsidR="007D394B" w:rsidRPr="00D649BD">
                  <w:rPr>
                    <w:rStyle w:val="Hyperlink"/>
                  </w:rPr>
                  <w:t>Scoping requirements and evaluation objectives</w:t>
                </w:r>
                <w:r w:rsidR="007D394B">
                  <w:rPr>
                    <w:webHidden/>
                  </w:rPr>
                  <w:tab/>
                </w:r>
                <w:r w:rsidR="007D394B">
                  <w:rPr>
                    <w:webHidden/>
                  </w:rPr>
                  <w:fldChar w:fldCharType="begin"/>
                </w:r>
                <w:r w:rsidR="007D394B">
                  <w:rPr>
                    <w:webHidden/>
                  </w:rPr>
                  <w:instrText xml:space="preserve"> PAGEREF _Toc72230979 \h </w:instrText>
                </w:r>
                <w:r w:rsidR="007D394B">
                  <w:rPr>
                    <w:webHidden/>
                  </w:rPr>
                </w:r>
                <w:r w:rsidR="007D394B">
                  <w:rPr>
                    <w:webHidden/>
                  </w:rPr>
                  <w:fldChar w:fldCharType="separate"/>
                </w:r>
                <w:r w:rsidR="007D394B">
                  <w:rPr>
                    <w:webHidden/>
                  </w:rPr>
                  <w:t>5-12</w:t>
                </w:r>
                <w:r w:rsidR="007D394B">
                  <w:rPr>
                    <w:webHidden/>
                  </w:rPr>
                  <w:fldChar w:fldCharType="end"/>
                </w:r>
              </w:hyperlink>
            </w:p>
            <w:p w14:paraId="3E634651" w14:textId="5527CDF9" w:rsidR="007D394B" w:rsidRDefault="009A087F">
              <w:pPr>
                <w:pStyle w:val="TOC2"/>
                <w:rPr>
                  <w:rFonts w:eastAsiaTheme="minorEastAsia"/>
                  <w:color w:val="auto"/>
                  <w:sz w:val="22"/>
                  <w:lang w:eastAsia="en-AU"/>
                </w:rPr>
              </w:pPr>
              <w:hyperlink w:anchor="_Toc72230980" w:history="1">
                <w:r w:rsidR="007D394B" w:rsidRPr="00D649BD">
                  <w:rPr>
                    <w:rStyle w:val="Hyperlink"/>
                  </w:rPr>
                  <w:t>5.9</w:t>
                </w:r>
                <w:r w:rsidR="007D394B">
                  <w:rPr>
                    <w:rFonts w:eastAsiaTheme="minorEastAsia"/>
                    <w:color w:val="auto"/>
                    <w:sz w:val="22"/>
                    <w:lang w:eastAsia="en-AU"/>
                  </w:rPr>
                  <w:tab/>
                </w:r>
                <w:r w:rsidR="007D394B" w:rsidRPr="00D649BD">
                  <w:rPr>
                    <w:rStyle w:val="Hyperlink"/>
                  </w:rPr>
                  <w:t>Assessment approach</w:t>
                </w:r>
                <w:r w:rsidR="007D394B">
                  <w:rPr>
                    <w:webHidden/>
                  </w:rPr>
                  <w:tab/>
                </w:r>
                <w:r w:rsidR="007D394B">
                  <w:rPr>
                    <w:webHidden/>
                  </w:rPr>
                  <w:fldChar w:fldCharType="begin"/>
                </w:r>
                <w:r w:rsidR="007D394B">
                  <w:rPr>
                    <w:webHidden/>
                  </w:rPr>
                  <w:instrText xml:space="preserve"> PAGEREF _Toc72230980 \h </w:instrText>
                </w:r>
                <w:r w:rsidR="007D394B">
                  <w:rPr>
                    <w:webHidden/>
                  </w:rPr>
                </w:r>
                <w:r w:rsidR="007D394B">
                  <w:rPr>
                    <w:webHidden/>
                  </w:rPr>
                  <w:fldChar w:fldCharType="separate"/>
                </w:r>
                <w:r w:rsidR="007D394B">
                  <w:rPr>
                    <w:webHidden/>
                  </w:rPr>
                  <w:t>5-14</w:t>
                </w:r>
                <w:r w:rsidR="007D394B">
                  <w:rPr>
                    <w:webHidden/>
                  </w:rPr>
                  <w:fldChar w:fldCharType="end"/>
                </w:r>
              </w:hyperlink>
            </w:p>
            <w:p w14:paraId="018D564A" w14:textId="2E6AC6B7" w:rsidR="007D394B" w:rsidRDefault="009A087F">
              <w:pPr>
                <w:pStyle w:val="TOC3"/>
                <w:rPr>
                  <w:rFonts w:eastAsiaTheme="minorEastAsia"/>
                  <w:sz w:val="22"/>
                  <w:lang w:eastAsia="en-AU"/>
                </w:rPr>
              </w:pPr>
              <w:hyperlink w:anchor="_Toc72230981" w:history="1">
                <w:r w:rsidR="007D394B" w:rsidRPr="00D649BD">
                  <w:rPr>
                    <w:rStyle w:val="Hyperlink"/>
                  </w:rPr>
                  <w:t>5.9.1</w:t>
                </w:r>
                <w:r w:rsidR="007D394B">
                  <w:rPr>
                    <w:rFonts w:eastAsiaTheme="minorEastAsia"/>
                    <w:sz w:val="22"/>
                    <w:lang w:eastAsia="en-AU"/>
                  </w:rPr>
                  <w:tab/>
                </w:r>
                <w:r w:rsidR="007D394B" w:rsidRPr="00D649BD">
                  <w:rPr>
                    <w:rStyle w:val="Hyperlink"/>
                  </w:rPr>
                  <w:t>Existing conditions</w:t>
                </w:r>
                <w:r w:rsidR="007D394B">
                  <w:rPr>
                    <w:webHidden/>
                  </w:rPr>
                  <w:tab/>
                </w:r>
                <w:r w:rsidR="007D394B">
                  <w:rPr>
                    <w:webHidden/>
                  </w:rPr>
                  <w:fldChar w:fldCharType="begin"/>
                </w:r>
                <w:r w:rsidR="007D394B">
                  <w:rPr>
                    <w:webHidden/>
                  </w:rPr>
                  <w:instrText xml:space="preserve"> PAGEREF _Toc72230981 \h </w:instrText>
                </w:r>
                <w:r w:rsidR="007D394B">
                  <w:rPr>
                    <w:webHidden/>
                  </w:rPr>
                </w:r>
                <w:r w:rsidR="007D394B">
                  <w:rPr>
                    <w:webHidden/>
                  </w:rPr>
                  <w:fldChar w:fldCharType="separate"/>
                </w:r>
                <w:r w:rsidR="007D394B">
                  <w:rPr>
                    <w:webHidden/>
                  </w:rPr>
                  <w:t>5-14</w:t>
                </w:r>
                <w:r w:rsidR="007D394B">
                  <w:rPr>
                    <w:webHidden/>
                  </w:rPr>
                  <w:fldChar w:fldCharType="end"/>
                </w:r>
              </w:hyperlink>
            </w:p>
            <w:p w14:paraId="26340597" w14:textId="00B2D319" w:rsidR="007D394B" w:rsidRDefault="009A087F">
              <w:pPr>
                <w:pStyle w:val="TOC3"/>
                <w:rPr>
                  <w:rFonts w:eastAsiaTheme="minorEastAsia"/>
                  <w:sz w:val="22"/>
                  <w:lang w:eastAsia="en-AU"/>
                </w:rPr>
              </w:pPr>
              <w:hyperlink w:anchor="_Toc72230982" w:history="1">
                <w:r w:rsidR="007D394B" w:rsidRPr="00D649BD">
                  <w:rPr>
                    <w:rStyle w:val="Hyperlink"/>
                  </w:rPr>
                  <w:t>5.9.2</w:t>
                </w:r>
                <w:r w:rsidR="007D394B">
                  <w:rPr>
                    <w:rFonts w:eastAsiaTheme="minorEastAsia"/>
                    <w:sz w:val="22"/>
                    <w:lang w:eastAsia="en-AU"/>
                  </w:rPr>
                  <w:tab/>
                </w:r>
                <w:r w:rsidR="007D394B" w:rsidRPr="00D649BD">
                  <w:rPr>
                    <w:rStyle w:val="Hyperlink"/>
                  </w:rPr>
                  <w:t>Risk assessment</w:t>
                </w:r>
                <w:r w:rsidR="007D394B">
                  <w:rPr>
                    <w:webHidden/>
                  </w:rPr>
                  <w:tab/>
                </w:r>
                <w:r w:rsidR="007D394B">
                  <w:rPr>
                    <w:webHidden/>
                  </w:rPr>
                  <w:fldChar w:fldCharType="begin"/>
                </w:r>
                <w:r w:rsidR="007D394B">
                  <w:rPr>
                    <w:webHidden/>
                  </w:rPr>
                  <w:instrText xml:space="preserve"> PAGEREF _Toc72230982 \h </w:instrText>
                </w:r>
                <w:r w:rsidR="007D394B">
                  <w:rPr>
                    <w:webHidden/>
                  </w:rPr>
                </w:r>
                <w:r w:rsidR="007D394B">
                  <w:rPr>
                    <w:webHidden/>
                  </w:rPr>
                  <w:fldChar w:fldCharType="separate"/>
                </w:r>
                <w:r w:rsidR="007D394B">
                  <w:rPr>
                    <w:webHidden/>
                  </w:rPr>
                  <w:t>5-14</w:t>
                </w:r>
                <w:r w:rsidR="007D394B">
                  <w:rPr>
                    <w:webHidden/>
                  </w:rPr>
                  <w:fldChar w:fldCharType="end"/>
                </w:r>
              </w:hyperlink>
            </w:p>
            <w:p w14:paraId="34C727E2" w14:textId="467502F3" w:rsidR="007D394B" w:rsidRDefault="009A087F">
              <w:pPr>
                <w:pStyle w:val="TOC3"/>
                <w:rPr>
                  <w:rFonts w:eastAsiaTheme="minorEastAsia"/>
                  <w:sz w:val="22"/>
                  <w:lang w:eastAsia="en-AU"/>
                </w:rPr>
              </w:pPr>
              <w:hyperlink w:anchor="_Toc72230983" w:history="1">
                <w:r w:rsidR="007D394B" w:rsidRPr="00D649BD">
                  <w:rPr>
                    <w:rStyle w:val="Hyperlink"/>
                  </w:rPr>
                  <w:t>5.9.3</w:t>
                </w:r>
                <w:r w:rsidR="007D394B">
                  <w:rPr>
                    <w:rFonts w:eastAsiaTheme="minorEastAsia"/>
                    <w:sz w:val="22"/>
                    <w:lang w:eastAsia="en-AU"/>
                  </w:rPr>
                  <w:tab/>
                </w:r>
                <w:r w:rsidR="007D394B" w:rsidRPr="00D649BD">
                  <w:rPr>
                    <w:rStyle w:val="Hyperlink"/>
                  </w:rPr>
                  <w:t>Impact assessment</w:t>
                </w:r>
                <w:r w:rsidR="007D394B">
                  <w:rPr>
                    <w:webHidden/>
                  </w:rPr>
                  <w:tab/>
                </w:r>
                <w:r w:rsidR="007D394B">
                  <w:rPr>
                    <w:webHidden/>
                  </w:rPr>
                  <w:fldChar w:fldCharType="begin"/>
                </w:r>
                <w:r w:rsidR="007D394B">
                  <w:rPr>
                    <w:webHidden/>
                  </w:rPr>
                  <w:instrText xml:space="preserve"> PAGEREF _Toc72230983 \h </w:instrText>
                </w:r>
                <w:r w:rsidR="007D394B">
                  <w:rPr>
                    <w:webHidden/>
                  </w:rPr>
                </w:r>
                <w:r w:rsidR="007D394B">
                  <w:rPr>
                    <w:webHidden/>
                  </w:rPr>
                  <w:fldChar w:fldCharType="separate"/>
                </w:r>
                <w:r w:rsidR="007D394B">
                  <w:rPr>
                    <w:webHidden/>
                  </w:rPr>
                  <w:t>5-17</w:t>
                </w:r>
                <w:r w:rsidR="007D394B">
                  <w:rPr>
                    <w:webHidden/>
                  </w:rPr>
                  <w:fldChar w:fldCharType="end"/>
                </w:r>
              </w:hyperlink>
            </w:p>
            <w:p w14:paraId="5751C6A7" w14:textId="2D574128" w:rsidR="007D394B" w:rsidRDefault="009A087F">
              <w:pPr>
                <w:pStyle w:val="TOC3"/>
                <w:rPr>
                  <w:rFonts w:eastAsiaTheme="minorEastAsia"/>
                  <w:sz w:val="22"/>
                  <w:lang w:eastAsia="en-AU"/>
                </w:rPr>
              </w:pPr>
              <w:hyperlink w:anchor="_Toc72230984" w:history="1">
                <w:r w:rsidR="007D394B" w:rsidRPr="00D649BD">
                  <w:rPr>
                    <w:rStyle w:val="Hyperlink"/>
                  </w:rPr>
                  <w:t>5.9.4</w:t>
                </w:r>
                <w:r w:rsidR="007D394B">
                  <w:rPr>
                    <w:rFonts w:eastAsiaTheme="minorEastAsia"/>
                    <w:sz w:val="22"/>
                    <w:lang w:eastAsia="en-AU"/>
                  </w:rPr>
                  <w:tab/>
                </w:r>
                <w:r w:rsidR="007D394B" w:rsidRPr="00D649BD">
                  <w:rPr>
                    <w:rStyle w:val="Hyperlink"/>
                  </w:rPr>
                  <w:t>Managing environmental effects</w:t>
                </w:r>
                <w:r w:rsidR="007D394B">
                  <w:rPr>
                    <w:webHidden/>
                  </w:rPr>
                  <w:tab/>
                </w:r>
                <w:r w:rsidR="007D394B">
                  <w:rPr>
                    <w:webHidden/>
                  </w:rPr>
                  <w:fldChar w:fldCharType="begin"/>
                </w:r>
                <w:r w:rsidR="007D394B">
                  <w:rPr>
                    <w:webHidden/>
                  </w:rPr>
                  <w:instrText xml:space="preserve"> PAGEREF _Toc72230984 \h </w:instrText>
                </w:r>
                <w:r w:rsidR="007D394B">
                  <w:rPr>
                    <w:webHidden/>
                  </w:rPr>
                </w:r>
                <w:r w:rsidR="007D394B">
                  <w:rPr>
                    <w:webHidden/>
                  </w:rPr>
                  <w:fldChar w:fldCharType="separate"/>
                </w:r>
                <w:r w:rsidR="007D394B">
                  <w:rPr>
                    <w:webHidden/>
                  </w:rPr>
                  <w:t>5-18</w:t>
                </w:r>
                <w:r w:rsidR="007D394B">
                  <w:rPr>
                    <w:webHidden/>
                  </w:rPr>
                  <w:fldChar w:fldCharType="end"/>
                </w:r>
              </w:hyperlink>
            </w:p>
            <w:p w14:paraId="773EEA0A" w14:textId="5368613B" w:rsidR="007D394B" w:rsidRDefault="009A087F">
              <w:pPr>
                <w:pStyle w:val="TOC3"/>
                <w:rPr>
                  <w:rFonts w:eastAsiaTheme="minorEastAsia"/>
                  <w:sz w:val="22"/>
                  <w:lang w:eastAsia="en-AU"/>
                </w:rPr>
              </w:pPr>
              <w:hyperlink w:anchor="_Toc72230985" w:history="1">
                <w:r w:rsidR="007D394B" w:rsidRPr="00D649BD">
                  <w:rPr>
                    <w:rStyle w:val="Hyperlink"/>
                  </w:rPr>
                  <w:t>5.9.5</w:t>
                </w:r>
                <w:r w:rsidR="007D394B">
                  <w:rPr>
                    <w:rFonts w:eastAsiaTheme="minorEastAsia"/>
                    <w:sz w:val="22"/>
                    <w:lang w:eastAsia="en-AU"/>
                  </w:rPr>
                  <w:tab/>
                </w:r>
                <w:r w:rsidR="007D394B" w:rsidRPr="00D649BD">
                  <w:rPr>
                    <w:rStyle w:val="Hyperlink"/>
                  </w:rPr>
                  <w:t>Assessing cumulative impacts</w:t>
                </w:r>
                <w:r w:rsidR="007D394B">
                  <w:rPr>
                    <w:webHidden/>
                  </w:rPr>
                  <w:tab/>
                </w:r>
                <w:r w:rsidR="007D394B">
                  <w:rPr>
                    <w:webHidden/>
                  </w:rPr>
                  <w:fldChar w:fldCharType="begin"/>
                </w:r>
                <w:r w:rsidR="007D394B">
                  <w:rPr>
                    <w:webHidden/>
                  </w:rPr>
                  <w:instrText xml:space="preserve"> PAGEREF _Toc72230985 \h </w:instrText>
                </w:r>
                <w:r w:rsidR="007D394B">
                  <w:rPr>
                    <w:webHidden/>
                  </w:rPr>
                </w:r>
                <w:r w:rsidR="007D394B">
                  <w:rPr>
                    <w:webHidden/>
                  </w:rPr>
                  <w:fldChar w:fldCharType="separate"/>
                </w:r>
                <w:r w:rsidR="007D394B">
                  <w:rPr>
                    <w:webHidden/>
                  </w:rPr>
                  <w:t>5-19</w:t>
                </w:r>
                <w:r w:rsidR="007D394B">
                  <w:rPr>
                    <w:webHidden/>
                  </w:rPr>
                  <w:fldChar w:fldCharType="end"/>
                </w:r>
              </w:hyperlink>
            </w:p>
            <w:p w14:paraId="43A58369" w14:textId="73C91545" w:rsidR="007D394B" w:rsidRDefault="009A087F">
              <w:pPr>
                <w:pStyle w:val="TOC3"/>
                <w:rPr>
                  <w:rFonts w:eastAsiaTheme="minorEastAsia"/>
                  <w:sz w:val="22"/>
                  <w:lang w:eastAsia="en-AU"/>
                </w:rPr>
              </w:pPr>
              <w:hyperlink w:anchor="_Toc72230986" w:history="1">
                <w:r w:rsidR="007D394B" w:rsidRPr="00D649BD">
                  <w:rPr>
                    <w:rStyle w:val="Hyperlink"/>
                  </w:rPr>
                  <w:t>5.9.6</w:t>
                </w:r>
                <w:r w:rsidR="007D394B">
                  <w:rPr>
                    <w:rFonts w:eastAsiaTheme="minorEastAsia"/>
                    <w:sz w:val="22"/>
                    <w:lang w:eastAsia="en-AU"/>
                  </w:rPr>
                  <w:tab/>
                </w:r>
                <w:r w:rsidR="007D394B" w:rsidRPr="00D649BD">
                  <w:rPr>
                    <w:rStyle w:val="Hyperlink"/>
                  </w:rPr>
                  <w:t>Integrated assessment</w:t>
                </w:r>
                <w:r w:rsidR="007D394B">
                  <w:rPr>
                    <w:webHidden/>
                  </w:rPr>
                  <w:tab/>
                </w:r>
                <w:r w:rsidR="007D394B">
                  <w:rPr>
                    <w:webHidden/>
                  </w:rPr>
                  <w:fldChar w:fldCharType="begin"/>
                </w:r>
                <w:r w:rsidR="007D394B">
                  <w:rPr>
                    <w:webHidden/>
                  </w:rPr>
                  <w:instrText xml:space="preserve"> PAGEREF _Toc72230986 \h </w:instrText>
                </w:r>
                <w:r w:rsidR="007D394B">
                  <w:rPr>
                    <w:webHidden/>
                  </w:rPr>
                </w:r>
                <w:r w:rsidR="007D394B">
                  <w:rPr>
                    <w:webHidden/>
                  </w:rPr>
                  <w:fldChar w:fldCharType="separate"/>
                </w:r>
                <w:r w:rsidR="007D394B">
                  <w:rPr>
                    <w:webHidden/>
                  </w:rPr>
                  <w:t>5-19</w:t>
                </w:r>
                <w:r w:rsidR="007D394B">
                  <w:rPr>
                    <w:webHidden/>
                  </w:rPr>
                  <w:fldChar w:fldCharType="end"/>
                </w:r>
              </w:hyperlink>
            </w:p>
            <w:p w14:paraId="3FAF1DB3" w14:textId="7AA39799" w:rsidR="007D394B" w:rsidRDefault="009A087F">
              <w:pPr>
                <w:pStyle w:val="TOC2"/>
                <w:rPr>
                  <w:rFonts w:eastAsiaTheme="minorEastAsia"/>
                  <w:color w:val="auto"/>
                  <w:sz w:val="22"/>
                  <w:lang w:eastAsia="en-AU"/>
                </w:rPr>
              </w:pPr>
              <w:hyperlink w:anchor="_Toc72230987" w:history="1">
                <w:r w:rsidR="007D394B" w:rsidRPr="00D649BD">
                  <w:rPr>
                    <w:rStyle w:val="Hyperlink"/>
                  </w:rPr>
                  <w:t>5.10</w:t>
                </w:r>
                <w:r w:rsidR="007D394B">
                  <w:rPr>
                    <w:rFonts w:eastAsiaTheme="minorEastAsia"/>
                    <w:color w:val="auto"/>
                    <w:sz w:val="22"/>
                    <w:lang w:eastAsia="en-AU"/>
                  </w:rPr>
                  <w:tab/>
                </w:r>
                <w:r w:rsidR="007D394B" w:rsidRPr="00D649BD">
                  <w:rPr>
                    <w:rStyle w:val="Hyperlink"/>
                  </w:rPr>
                  <w:t>Project development</w:t>
                </w:r>
                <w:r w:rsidR="007D394B">
                  <w:rPr>
                    <w:webHidden/>
                  </w:rPr>
                  <w:tab/>
                </w:r>
                <w:r w:rsidR="007D394B">
                  <w:rPr>
                    <w:webHidden/>
                  </w:rPr>
                  <w:fldChar w:fldCharType="begin"/>
                </w:r>
                <w:r w:rsidR="007D394B">
                  <w:rPr>
                    <w:webHidden/>
                  </w:rPr>
                  <w:instrText xml:space="preserve"> PAGEREF _Toc72230987 \h </w:instrText>
                </w:r>
                <w:r w:rsidR="007D394B">
                  <w:rPr>
                    <w:webHidden/>
                  </w:rPr>
                </w:r>
                <w:r w:rsidR="007D394B">
                  <w:rPr>
                    <w:webHidden/>
                  </w:rPr>
                  <w:fldChar w:fldCharType="separate"/>
                </w:r>
                <w:r w:rsidR="007D394B">
                  <w:rPr>
                    <w:webHidden/>
                  </w:rPr>
                  <w:t>5-20</w:t>
                </w:r>
                <w:r w:rsidR="007D394B">
                  <w:rPr>
                    <w:webHidden/>
                  </w:rPr>
                  <w:fldChar w:fldCharType="end"/>
                </w:r>
              </w:hyperlink>
            </w:p>
            <w:p w14:paraId="3C132B9A" w14:textId="25B1ACD6" w:rsidR="007D394B" w:rsidRDefault="009A087F">
              <w:pPr>
                <w:pStyle w:val="TOC2"/>
                <w:rPr>
                  <w:rFonts w:eastAsiaTheme="minorEastAsia"/>
                  <w:color w:val="auto"/>
                  <w:sz w:val="22"/>
                  <w:lang w:eastAsia="en-AU"/>
                </w:rPr>
              </w:pPr>
              <w:hyperlink w:anchor="_Toc72230988" w:history="1">
                <w:r w:rsidR="007D394B" w:rsidRPr="00D649BD">
                  <w:rPr>
                    <w:rStyle w:val="Hyperlink"/>
                  </w:rPr>
                  <w:t>5.11</w:t>
                </w:r>
                <w:r w:rsidR="007D394B">
                  <w:rPr>
                    <w:rFonts w:eastAsiaTheme="minorEastAsia"/>
                    <w:color w:val="auto"/>
                    <w:sz w:val="22"/>
                    <w:lang w:eastAsia="en-AU"/>
                  </w:rPr>
                  <w:tab/>
                </w:r>
                <w:r w:rsidR="007D394B" w:rsidRPr="00D649BD">
                  <w:rPr>
                    <w:rStyle w:val="Hyperlink"/>
                  </w:rPr>
                  <w:t>Consultation</w:t>
                </w:r>
                <w:r w:rsidR="007D394B">
                  <w:rPr>
                    <w:webHidden/>
                  </w:rPr>
                  <w:tab/>
                </w:r>
                <w:r w:rsidR="007D394B">
                  <w:rPr>
                    <w:webHidden/>
                  </w:rPr>
                  <w:fldChar w:fldCharType="begin"/>
                </w:r>
                <w:r w:rsidR="007D394B">
                  <w:rPr>
                    <w:webHidden/>
                  </w:rPr>
                  <w:instrText xml:space="preserve"> PAGEREF _Toc72230988 \h </w:instrText>
                </w:r>
                <w:r w:rsidR="007D394B">
                  <w:rPr>
                    <w:webHidden/>
                  </w:rPr>
                </w:r>
                <w:r w:rsidR="007D394B">
                  <w:rPr>
                    <w:webHidden/>
                  </w:rPr>
                  <w:fldChar w:fldCharType="separate"/>
                </w:r>
                <w:r w:rsidR="007D394B">
                  <w:rPr>
                    <w:webHidden/>
                  </w:rPr>
                  <w:t>5-20</w:t>
                </w:r>
                <w:r w:rsidR="007D394B">
                  <w:rPr>
                    <w:webHidden/>
                  </w:rPr>
                  <w:fldChar w:fldCharType="end"/>
                </w:r>
              </w:hyperlink>
            </w:p>
            <w:p w14:paraId="5B252D24" w14:textId="467C890A" w:rsidR="00AC57BD" w:rsidRDefault="00AC57BD" w:rsidP="00AC57BD">
              <w:pPr>
                <w:pStyle w:val="TOC2"/>
              </w:pPr>
              <w:r>
                <w:rPr>
                  <w:b/>
                  <w:bCs/>
                </w:rPr>
                <w:fldChar w:fldCharType="end"/>
              </w:r>
            </w:p>
          </w:sdtContent>
        </w:sdt>
        <w:p w14:paraId="2711EE14" w14:textId="10DF4EEC" w:rsidR="007A2983" w:rsidRDefault="009A087F"/>
      </w:sdtContent>
    </w:sdt>
    <w:bookmarkEnd w:id="4"/>
    <w:bookmarkEnd w:id="3"/>
    <w:p w14:paraId="75E74789" w14:textId="5955287B" w:rsidR="00EE1286" w:rsidRDefault="00EE1286" w:rsidP="0062480D">
      <w:pPr>
        <w:pStyle w:val="BodyText"/>
      </w:pPr>
    </w:p>
    <w:p w14:paraId="5DF6CE1B" w14:textId="77777777" w:rsidR="00E613EA" w:rsidRDefault="00E613EA" w:rsidP="0062480D">
      <w:pPr>
        <w:pStyle w:val="BodyText"/>
        <w:sectPr w:rsidR="00E613EA" w:rsidSect="00AC57BD">
          <w:headerReference w:type="first" r:id="rId18"/>
          <w:type w:val="oddPage"/>
          <w:pgSz w:w="11906" w:h="16838" w:code="9"/>
          <w:pgMar w:top="1418" w:right="1418" w:bottom="1418" w:left="1418" w:header="567" w:footer="567" w:gutter="0"/>
          <w:pgNumType w:fmt="lowerRoman" w:start="1"/>
          <w:cols w:space="708"/>
          <w:docGrid w:linePitch="360"/>
        </w:sectPr>
      </w:pPr>
    </w:p>
    <w:p w14:paraId="7EB9AAE1" w14:textId="7823D8AA" w:rsidR="00547D6A" w:rsidRDefault="00547D6A" w:rsidP="00E613EA">
      <w:pPr>
        <w:pStyle w:val="Heading2"/>
        <w:spacing w:before="0"/>
      </w:pPr>
      <w:bookmarkStart w:id="5" w:name="_Ref47530517"/>
      <w:bookmarkStart w:id="6" w:name="_Toc71731580"/>
      <w:bookmarkStart w:id="7" w:name="_Toc72230962"/>
      <w:r>
        <w:lastRenderedPageBreak/>
        <w:t>Introduction</w:t>
      </w:r>
      <w:bookmarkEnd w:id="5"/>
      <w:bookmarkEnd w:id="6"/>
      <w:bookmarkEnd w:id="7"/>
    </w:p>
    <w:p w14:paraId="1262F5BA" w14:textId="1E48B85D" w:rsidR="003F455C" w:rsidRDefault="00547D6A" w:rsidP="00AC57BD">
      <w:pPr>
        <w:pStyle w:val="BodyText"/>
      </w:pPr>
      <w:r w:rsidRPr="00547D6A">
        <w:t>This chapter outlines the principal environmental and related approvals required for the Western Outer Ring Main (WORM) gas pipeline project (the Project</w:t>
      </w:r>
      <w:r w:rsidR="00763CC9">
        <w:t>) and applicable legislation</w:t>
      </w:r>
      <w:r w:rsidRPr="00547D6A">
        <w:t>.</w:t>
      </w:r>
    </w:p>
    <w:p w14:paraId="00185822" w14:textId="29DA8900" w:rsidR="003F455C" w:rsidRDefault="00547D6A" w:rsidP="00AC57BD">
      <w:pPr>
        <w:pStyle w:val="BodyText"/>
      </w:pPr>
      <w:r w:rsidRPr="00547D6A">
        <w:t>With</w:t>
      </w:r>
      <w:r w:rsidR="003F455C">
        <w:t>in the context of</w:t>
      </w:r>
      <w:r w:rsidRPr="00547D6A">
        <w:t xml:space="preserve"> this legislative </w:t>
      </w:r>
      <w:proofErr w:type="gramStart"/>
      <w:r w:rsidR="003F455C">
        <w:t>approvals</w:t>
      </w:r>
      <w:proofErr w:type="gramEnd"/>
      <w:r w:rsidR="003F455C">
        <w:t xml:space="preserve"> </w:t>
      </w:r>
      <w:r w:rsidRPr="00547D6A">
        <w:t>framework</w:t>
      </w:r>
      <w:r w:rsidR="003F455C">
        <w:t>,</w:t>
      </w:r>
      <w:r w:rsidRPr="00547D6A">
        <w:t xml:space="preserve"> </w:t>
      </w:r>
      <w:r w:rsidR="003F455C" w:rsidRPr="003F455C">
        <w:t>an assessment framework was developed for the Project EES</w:t>
      </w:r>
      <w:r w:rsidR="003F455C">
        <w:t xml:space="preserve"> </w:t>
      </w:r>
      <w:r w:rsidR="003F455C" w:rsidRPr="003F455C">
        <w:t>to ensure a consistent and transparent approach to the evaluation of potential impacts on the environment</w:t>
      </w:r>
      <w:r w:rsidR="003F455C">
        <w:t>.</w:t>
      </w:r>
    </w:p>
    <w:p w14:paraId="5DCCF766" w14:textId="3C9C1EC5" w:rsidR="00547D6A" w:rsidRPr="000667B5" w:rsidRDefault="003F455C" w:rsidP="00A6198F">
      <w:pPr>
        <w:pStyle w:val="BodyText"/>
      </w:pPr>
      <w:r w:rsidRPr="003F455C">
        <w:t>The assessment framework for this EES was developed using the EES scoping requirements (see</w:t>
      </w:r>
      <w:r w:rsidR="00E613EA">
        <w:t> </w:t>
      </w:r>
      <w:r w:rsidRPr="003F455C">
        <w:t xml:space="preserve">Section </w:t>
      </w:r>
      <w:r w:rsidRPr="003F455C">
        <w:fldChar w:fldCharType="begin"/>
      </w:r>
      <w:r w:rsidRPr="003F455C">
        <w:instrText xml:space="preserve"> REF _Ref47530555 \r \h </w:instrText>
      </w:r>
      <w:r w:rsidRPr="003F455C">
        <w:fldChar w:fldCharType="separate"/>
      </w:r>
      <w:r w:rsidR="007D394B">
        <w:t>5.8</w:t>
      </w:r>
      <w:r w:rsidRPr="003F455C">
        <w:fldChar w:fldCharType="end"/>
      </w:r>
      <w:r w:rsidRPr="003F455C">
        <w:t>) and relevant legislation and policy.</w:t>
      </w:r>
      <w:r>
        <w:t xml:space="preserve"> T</w:t>
      </w:r>
      <w:r w:rsidR="00547D6A">
        <w:t>h</w:t>
      </w:r>
      <w:r>
        <w:t>is</w:t>
      </w:r>
      <w:r w:rsidR="00547D6A" w:rsidRPr="000667B5">
        <w:t xml:space="preserve"> chapter </w:t>
      </w:r>
      <w:r>
        <w:t xml:space="preserve">provides an overview of applicable legislation and </w:t>
      </w:r>
      <w:r w:rsidR="00547D6A" w:rsidRPr="000667B5">
        <w:t>describes the components of the assessment framework and how they underpin the Environment Effects Statement (EES) process.</w:t>
      </w:r>
    </w:p>
    <w:p w14:paraId="0675DE87" w14:textId="70D586AB" w:rsidR="00547D6A" w:rsidRPr="00547D6A" w:rsidRDefault="00547D6A" w:rsidP="006324B3">
      <w:pPr>
        <w:pStyle w:val="Heading2"/>
      </w:pPr>
      <w:bookmarkStart w:id="8" w:name="_Toc71731581"/>
      <w:bookmarkStart w:id="9" w:name="_Toc72230963"/>
      <w:r w:rsidRPr="00547D6A">
        <w:t>Approvals</w:t>
      </w:r>
      <w:bookmarkEnd w:id="8"/>
      <w:bookmarkEnd w:id="9"/>
    </w:p>
    <w:p w14:paraId="72E68874" w14:textId="7B274701" w:rsidR="00547D6A" w:rsidRPr="00766EE8" w:rsidRDefault="00547D6A">
      <w:pPr>
        <w:pStyle w:val="BodyText"/>
      </w:pPr>
      <w:r w:rsidRPr="00766EE8">
        <w:t>On 22 December 2019, the Minister for Planning</w:t>
      </w:r>
      <w:r w:rsidR="0095174B">
        <w:t xml:space="preserve"> (Minister)</w:t>
      </w:r>
      <w:r w:rsidRPr="00766EE8">
        <w:t xml:space="preserve"> determined that the Project would require an E</w:t>
      </w:r>
      <w:r w:rsidR="0095174B">
        <w:t>ES</w:t>
      </w:r>
      <w:r w:rsidRPr="00766EE8">
        <w:t xml:space="preserve"> under the</w:t>
      </w:r>
      <w:r w:rsidRPr="004B26EA">
        <w:rPr>
          <w:rStyle w:val="Italics"/>
        </w:rPr>
        <w:t xml:space="preserve"> Environment Effects Act 1978</w:t>
      </w:r>
      <w:r w:rsidRPr="00766EE8">
        <w:t xml:space="preserve"> </w:t>
      </w:r>
      <w:r w:rsidR="0096366D" w:rsidRPr="0096366D">
        <w:t xml:space="preserve">(Vic) </w:t>
      </w:r>
      <w:r w:rsidRPr="00766EE8">
        <w:t>(EE Act)</w:t>
      </w:r>
      <w:r w:rsidR="0095174B">
        <w:t xml:space="preserve"> in order to inform the decision-makers in the granting of key approvals for the Project</w:t>
      </w:r>
      <w:r w:rsidRPr="00766EE8">
        <w:t xml:space="preserve">. Within the Minister’s Referral Decision, the Minister specified </w:t>
      </w:r>
      <w:r w:rsidR="0095174B">
        <w:t xml:space="preserve">the </w:t>
      </w:r>
      <w:r w:rsidRPr="00766EE8">
        <w:t>procedure</w:t>
      </w:r>
      <w:r w:rsidR="0095174B">
        <w:t>s</w:t>
      </w:r>
      <w:r w:rsidRPr="00766EE8">
        <w:t xml:space="preserve"> and requirements applicable to the preparation of the EES. The EES scoping requirements (</w:t>
      </w:r>
      <w:r w:rsidRPr="004B26EA">
        <w:t>August 2020</w:t>
      </w:r>
      <w:r w:rsidRPr="00766EE8">
        <w:t xml:space="preserve">) provide further detail on the specific matters to be investigated within the context of the Ministerial guidelines for assessment of environmental effects </w:t>
      </w:r>
      <w:r w:rsidR="0095174B">
        <w:t xml:space="preserve">(seventh edition, 2006) </w:t>
      </w:r>
      <w:r w:rsidRPr="00766EE8">
        <w:t xml:space="preserve">under the EE Act. </w:t>
      </w:r>
    </w:p>
    <w:p w14:paraId="110DB8D0" w14:textId="0553FE1B" w:rsidR="00547D6A" w:rsidRPr="00766EE8" w:rsidRDefault="00547D6A" w:rsidP="00766EE8">
      <w:pPr>
        <w:pStyle w:val="BodyText"/>
      </w:pPr>
      <w:r w:rsidRPr="00766EE8">
        <w:t>The principal environmental approval for the Project under Commonwealth legislation is</w:t>
      </w:r>
      <w:r w:rsidR="008A58B3">
        <w:t>:</w:t>
      </w:r>
    </w:p>
    <w:p w14:paraId="5677C1FA" w14:textId="4A62AC68" w:rsidR="00547D6A" w:rsidRPr="00766EE8" w:rsidRDefault="00547D6A" w:rsidP="00766EE8">
      <w:pPr>
        <w:pStyle w:val="BodyBullet1"/>
      </w:pPr>
      <w:r w:rsidRPr="00766EE8">
        <w:t xml:space="preserve">Commonwealth approval under the </w:t>
      </w:r>
      <w:r w:rsidRPr="004B26EA">
        <w:rPr>
          <w:rStyle w:val="Italics"/>
        </w:rPr>
        <w:t>Environment Protection Biodiversity Conservation Act 1999</w:t>
      </w:r>
      <w:r w:rsidRPr="00766EE8">
        <w:t xml:space="preserve"> </w:t>
      </w:r>
      <w:r w:rsidR="0096366D" w:rsidRPr="0096366D">
        <w:t>(</w:t>
      </w:r>
      <w:proofErr w:type="spellStart"/>
      <w:r w:rsidR="0096366D">
        <w:t>Cth</w:t>
      </w:r>
      <w:proofErr w:type="spellEnd"/>
      <w:r w:rsidR="0096366D" w:rsidRPr="0096366D">
        <w:t xml:space="preserve">) </w:t>
      </w:r>
      <w:r w:rsidRPr="00766EE8">
        <w:t>(EPBC Act)</w:t>
      </w:r>
      <w:r w:rsidR="00F60A10">
        <w:t>.</w:t>
      </w:r>
    </w:p>
    <w:p w14:paraId="4B59796C" w14:textId="77777777" w:rsidR="00547D6A" w:rsidRPr="00766EE8" w:rsidRDefault="00547D6A" w:rsidP="00766EE8">
      <w:pPr>
        <w:pStyle w:val="BodyText"/>
      </w:pPr>
      <w:r w:rsidRPr="00766EE8">
        <w:t>The principal approvals for the Project under Victorian legislation are:</w:t>
      </w:r>
    </w:p>
    <w:p w14:paraId="429409C3" w14:textId="2A83648B" w:rsidR="00547D6A" w:rsidRPr="00766EE8" w:rsidRDefault="00B028E3" w:rsidP="00E42BA3">
      <w:pPr>
        <w:pStyle w:val="BodyBullet1"/>
      </w:pPr>
      <w:r>
        <w:t>Granting of a p</w:t>
      </w:r>
      <w:r w:rsidR="00547D6A" w:rsidRPr="00766EE8">
        <w:t>ipeline licence under the</w:t>
      </w:r>
      <w:r w:rsidR="00547D6A" w:rsidRPr="004B26EA">
        <w:rPr>
          <w:rStyle w:val="Italics"/>
        </w:rPr>
        <w:t xml:space="preserve"> Pipelines Act 2005</w:t>
      </w:r>
      <w:r w:rsidR="0096366D" w:rsidRPr="004B26EA">
        <w:rPr>
          <w:rStyle w:val="Italics"/>
        </w:rPr>
        <w:t xml:space="preserve"> </w:t>
      </w:r>
      <w:r w:rsidR="0096366D" w:rsidRPr="0096366D">
        <w:t>(Vic)</w:t>
      </w:r>
      <w:r w:rsidR="00E42BA3">
        <w:t xml:space="preserve"> (Pipelines Act)</w:t>
      </w:r>
      <w:r w:rsidR="00547D6A" w:rsidRPr="00766EE8">
        <w:t>. Section 85 of the</w:t>
      </w:r>
      <w:r w:rsidR="00E42BA3">
        <w:t xml:space="preserve"> Pipelines Act</w:t>
      </w:r>
      <w:r w:rsidR="0095174B">
        <w:t xml:space="preserve"> p</w:t>
      </w:r>
      <w:r w:rsidR="00547D6A" w:rsidRPr="00766EE8">
        <w:t xml:space="preserve">rovides </w:t>
      </w:r>
      <w:r w:rsidR="0095174B">
        <w:t xml:space="preserve">that nothing in a planning scheme under the </w:t>
      </w:r>
      <w:r w:rsidR="0095174B">
        <w:rPr>
          <w:rStyle w:val="Italics"/>
        </w:rPr>
        <w:t>Planning and Environment Act 1987</w:t>
      </w:r>
      <w:r w:rsidR="0095174B">
        <w:rPr>
          <w:rStyle w:val="Removedirectformatting"/>
        </w:rPr>
        <w:t xml:space="preserve"> (Vic) (Planning Act) require</w:t>
      </w:r>
      <w:r w:rsidR="00763CC9">
        <w:rPr>
          <w:rStyle w:val="Removedirectformatting"/>
        </w:rPr>
        <w:t>s</w:t>
      </w:r>
      <w:r w:rsidR="0095174B">
        <w:rPr>
          <w:rStyle w:val="Removedirectformatting"/>
        </w:rPr>
        <w:t xml:space="preserve"> a permit under that Act </w:t>
      </w:r>
      <w:r w:rsidR="00547D6A" w:rsidRPr="00766EE8">
        <w:t xml:space="preserve">for the use or development of land or the carrying out of any matter or thing for the purpose of </w:t>
      </w:r>
      <w:r w:rsidR="0095174B">
        <w:t>a</w:t>
      </w:r>
      <w:r w:rsidR="0095174B" w:rsidRPr="00766EE8">
        <w:t xml:space="preserve"> </w:t>
      </w:r>
      <w:r w:rsidR="00547D6A" w:rsidRPr="00766EE8">
        <w:t>pipeline</w:t>
      </w:r>
      <w:r w:rsidR="0095174B">
        <w:t xml:space="preserve"> that is the subject of a Pipeline</w:t>
      </w:r>
      <w:r w:rsidR="00E613EA">
        <w:t> </w:t>
      </w:r>
      <w:r w:rsidR="0095174B">
        <w:t>Licence</w:t>
      </w:r>
    </w:p>
    <w:p w14:paraId="00B097BD" w14:textId="59724730" w:rsidR="00547D6A" w:rsidRPr="00766EE8" w:rsidRDefault="00547D6A" w:rsidP="00766EE8">
      <w:pPr>
        <w:pStyle w:val="BodyBullet1"/>
      </w:pPr>
      <w:r w:rsidRPr="00766EE8" w:rsidDel="00B73501">
        <w:t xml:space="preserve">Approval </w:t>
      </w:r>
      <w:r w:rsidR="00B028E3">
        <w:t xml:space="preserve">of a </w:t>
      </w:r>
      <w:r w:rsidRPr="00766EE8">
        <w:t xml:space="preserve">Cultural Heritage Management Plan (CHMP) under the </w:t>
      </w:r>
      <w:r w:rsidRPr="004B26EA">
        <w:rPr>
          <w:rStyle w:val="Italics"/>
        </w:rPr>
        <w:t>Aboriginal Heritage Act 2006</w:t>
      </w:r>
      <w:r w:rsidR="00197AE4" w:rsidRPr="004B26EA">
        <w:rPr>
          <w:rStyle w:val="Italics"/>
        </w:rPr>
        <w:t xml:space="preserve"> </w:t>
      </w:r>
      <w:r w:rsidR="00197AE4" w:rsidRPr="00197AE4">
        <w:t>(Vic)</w:t>
      </w:r>
      <w:r w:rsidR="0095174B">
        <w:t xml:space="preserve"> (AH Act)</w:t>
      </w:r>
      <w:r w:rsidRPr="00766EE8">
        <w:t>.</w:t>
      </w:r>
    </w:p>
    <w:p w14:paraId="11B9E99B" w14:textId="7E1622F4" w:rsidR="00547D6A" w:rsidRPr="00766EE8" w:rsidRDefault="00547D6A" w:rsidP="00766EE8">
      <w:pPr>
        <w:pStyle w:val="BodyText"/>
      </w:pPr>
      <w:r w:rsidRPr="00766EE8">
        <w:t xml:space="preserve">Other approvals for the Project under Victorian legislation </w:t>
      </w:r>
      <w:r w:rsidR="00B028E3">
        <w:t>that</w:t>
      </w:r>
      <w:r w:rsidRPr="00766EE8">
        <w:t xml:space="preserve"> would be sought as a secondary process after </w:t>
      </w:r>
      <w:r w:rsidR="0095174B">
        <w:t xml:space="preserve">the above </w:t>
      </w:r>
      <w:r w:rsidRPr="00766EE8">
        <w:t xml:space="preserve">principal approvals are </w:t>
      </w:r>
      <w:r w:rsidR="0095174B">
        <w:t>obtained</w:t>
      </w:r>
      <w:r w:rsidR="0095174B" w:rsidRPr="00766EE8">
        <w:t xml:space="preserve"> </w:t>
      </w:r>
      <w:r w:rsidRPr="00766EE8">
        <w:t>are:</w:t>
      </w:r>
    </w:p>
    <w:p w14:paraId="61F44E12" w14:textId="3247EA05" w:rsidR="00197AE4" w:rsidRDefault="0006160C" w:rsidP="00766EE8">
      <w:pPr>
        <w:pStyle w:val="BodyBullet1"/>
      </w:pPr>
      <w:r w:rsidRPr="0006160C">
        <w:t xml:space="preserve">Amendment to the existing </w:t>
      </w:r>
      <w:r w:rsidR="00994C8E">
        <w:t>Victorian Transmission System (</w:t>
      </w:r>
      <w:r w:rsidRPr="0006160C">
        <w:t>VTS</w:t>
      </w:r>
      <w:r w:rsidR="00994C8E">
        <w:t>)</w:t>
      </w:r>
      <w:r w:rsidRPr="0006160C">
        <w:t xml:space="preserve"> Safety Case, to include the new WORM pipeline under the </w:t>
      </w:r>
      <w:r w:rsidRPr="004B26EA">
        <w:rPr>
          <w:rStyle w:val="Italics"/>
        </w:rPr>
        <w:t>Gas Safety Act 1997</w:t>
      </w:r>
      <w:r w:rsidRPr="0006160C">
        <w:t xml:space="preserve"> (Vic) </w:t>
      </w:r>
    </w:p>
    <w:p w14:paraId="512EF180" w14:textId="77777777" w:rsidR="00547D6A" w:rsidRPr="00766EE8" w:rsidRDefault="00547D6A" w:rsidP="00766EE8">
      <w:pPr>
        <w:pStyle w:val="BodyBullet1"/>
      </w:pPr>
      <w:r w:rsidRPr="00766EE8">
        <w:t xml:space="preserve">Permits under the </w:t>
      </w:r>
      <w:r w:rsidRPr="004B26EA">
        <w:rPr>
          <w:rStyle w:val="Italics"/>
        </w:rPr>
        <w:t>Flora and Fauna Guarantee Act 1988</w:t>
      </w:r>
      <w:r w:rsidRPr="00766EE8">
        <w:t xml:space="preserve"> (Vic) (FFG Act) for the removal of FFG Act-listed species</w:t>
      </w:r>
    </w:p>
    <w:p w14:paraId="2830C6E2" w14:textId="77777777" w:rsidR="00DA508D" w:rsidRDefault="00547D6A" w:rsidP="00766EE8">
      <w:pPr>
        <w:pStyle w:val="BodyBullet1"/>
      </w:pPr>
      <w:r w:rsidRPr="00766EE8">
        <w:t xml:space="preserve">Permits under the </w:t>
      </w:r>
      <w:r w:rsidRPr="004B26EA">
        <w:rPr>
          <w:rStyle w:val="Italics"/>
        </w:rPr>
        <w:t xml:space="preserve">Water Act 1989 </w:t>
      </w:r>
      <w:r w:rsidRPr="00766EE8">
        <w:t>(Vic) (Water Act) for works at waterway crossings</w:t>
      </w:r>
    </w:p>
    <w:p w14:paraId="10F39C59" w14:textId="1ACEDBAC" w:rsidR="00547D6A" w:rsidRPr="00766EE8" w:rsidRDefault="00DA508D" w:rsidP="00295779">
      <w:pPr>
        <w:pStyle w:val="BodyBullet1"/>
      </w:pPr>
      <w:r>
        <w:t>Works in Conservation Areas application (</w:t>
      </w:r>
      <w:proofErr w:type="spellStart"/>
      <w:r>
        <w:t>WiCA</w:t>
      </w:r>
      <w:proofErr w:type="spellEnd"/>
      <w:r>
        <w:t xml:space="preserve">) for works within </w:t>
      </w:r>
      <w:r w:rsidRPr="00197AE4">
        <w:t>a Conservation Area identified in the Biodiversity Conservation Strategy</w:t>
      </w:r>
      <w:r>
        <w:t xml:space="preserve">, to </w:t>
      </w:r>
      <w:r w:rsidR="00133C5C">
        <w:t>the Department of Environment, Land, Water and Planning (</w:t>
      </w:r>
      <w:r>
        <w:t>DELWP</w:t>
      </w:r>
      <w:r w:rsidR="00133C5C">
        <w:t>)</w:t>
      </w:r>
      <w:r w:rsidR="00295779">
        <w:t xml:space="preserve">, under the </w:t>
      </w:r>
      <w:r w:rsidR="00295779" w:rsidRPr="00672453">
        <w:rPr>
          <w:rStyle w:val="Italics"/>
        </w:rPr>
        <w:t>Melbourne Strategic Assessment (Environmental Mitigation Levy) Act 2020</w:t>
      </w:r>
      <w:r w:rsidR="00042105" w:rsidRPr="00042105">
        <w:rPr>
          <w:rStyle w:val="Removedirectformatting"/>
        </w:rPr>
        <w:t xml:space="preserve"> (Vic)</w:t>
      </w:r>
      <w:r>
        <w:t>.</w:t>
      </w:r>
    </w:p>
    <w:p w14:paraId="7E4A31A1" w14:textId="7271EB1F" w:rsidR="00DA508D" w:rsidRDefault="00DA508D" w:rsidP="00547D6A">
      <w:pPr>
        <w:pStyle w:val="BodyText"/>
      </w:pPr>
      <w:r>
        <w:lastRenderedPageBreak/>
        <w:t>An ov</w:t>
      </w:r>
      <w:r w:rsidR="00347A35">
        <w:t>erview of the planning, environ</w:t>
      </w:r>
      <w:r>
        <w:t>m</w:t>
      </w:r>
      <w:r w:rsidR="00347A35">
        <w:t>e</w:t>
      </w:r>
      <w:r>
        <w:t xml:space="preserve">ntal and heritage legislation applicable to WORM is illustrated in </w:t>
      </w:r>
      <w:r>
        <w:fldChar w:fldCharType="begin"/>
      </w:r>
      <w:r>
        <w:instrText xml:space="preserve"> REF _Ref47608932 \h </w:instrText>
      </w:r>
      <w:r>
        <w:fldChar w:fldCharType="separate"/>
      </w:r>
      <w:r w:rsidR="007D394B">
        <w:t>Figure </w:t>
      </w:r>
      <w:r w:rsidR="007D394B">
        <w:rPr>
          <w:noProof/>
        </w:rPr>
        <w:t>5</w:t>
      </w:r>
      <w:r w:rsidR="007D394B">
        <w:noBreakHyphen/>
      </w:r>
      <w:r w:rsidR="007D394B">
        <w:rPr>
          <w:noProof/>
        </w:rPr>
        <w:t>1</w:t>
      </w:r>
      <w:r>
        <w:fldChar w:fldCharType="end"/>
      </w:r>
      <w:r>
        <w:t xml:space="preserve"> below. </w:t>
      </w:r>
      <w:r w:rsidR="00547D6A" w:rsidRPr="00766EE8">
        <w:t>For further detail on the discipline-specific legislation, refer to Technical reports A</w:t>
      </w:r>
      <w:r w:rsidR="00E613EA">
        <w:t> </w:t>
      </w:r>
      <w:r w:rsidR="00B028E3">
        <w:t xml:space="preserve">to </w:t>
      </w:r>
      <w:r w:rsidR="00C57F88">
        <w:t>M</w:t>
      </w:r>
      <w:r w:rsidR="00547D6A" w:rsidRPr="00766EE8">
        <w:t>.</w:t>
      </w:r>
    </w:p>
    <w:p w14:paraId="7F5EFA80" w14:textId="46591DD3" w:rsidR="00DA508D" w:rsidRDefault="00DA508D" w:rsidP="00DA508D">
      <w:pPr>
        <w:pStyle w:val="Caption"/>
      </w:pPr>
      <w:bookmarkStart w:id="10" w:name="_Ref47608932"/>
      <w:r>
        <w:t>Figure</w:t>
      </w:r>
      <w:r w:rsidR="003C78E5">
        <w:t> </w:t>
      </w:r>
      <w:fldSimple w:instr=" STYLEREF 1 \s ">
        <w:r w:rsidR="007D394B">
          <w:rPr>
            <w:noProof/>
          </w:rPr>
          <w:t>5</w:t>
        </w:r>
      </w:fldSimple>
      <w:r w:rsidR="00A6198F">
        <w:noBreakHyphen/>
      </w:r>
      <w:fldSimple w:instr=" SEQ Figure \* ARABIC \s 1 ">
        <w:r w:rsidR="007D394B">
          <w:rPr>
            <w:noProof/>
          </w:rPr>
          <w:t>1</w:t>
        </w:r>
      </w:fldSimple>
      <w:bookmarkEnd w:id="10"/>
      <w:r>
        <w:tab/>
        <w:t>Overview of planning, environmental and heritage legislation applicable to WORM</w:t>
      </w:r>
      <w:r w:rsidR="00E613EA">
        <w:t> </w:t>
      </w:r>
      <w:r>
        <w:t>approvals</w:t>
      </w:r>
    </w:p>
    <w:p w14:paraId="5D86B4FB" w14:textId="4BD307E4" w:rsidR="009C4EEC" w:rsidRDefault="009C4EEC" w:rsidP="003C78E5">
      <w:pPr>
        <w:pStyle w:val="Object"/>
      </w:pPr>
      <w:r>
        <w:rPr>
          <w:noProof/>
        </w:rPr>
        <w:drawing>
          <wp:inline distT="0" distB="0" distL="0" distR="0" wp14:anchorId="71D4AB27" wp14:editId="43D090DF">
            <wp:extent cx="5760000" cy="2919323"/>
            <wp:effectExtent l="0" t="0" r="0" b="0"/>
            <wp:docPr id="6" name="Picture 6" descr="This figure shows a flowchart of the approvals required for the WORM project, as set out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figure shows a flowchart of the approvals required for the WORM project, as set out in the text above."/>
                    <pic:cNvPicPr/>
                  </pic:nvPicPr>
                  <pic:blipFill>
                    <a:blip r:embed="rId19">
                      <a:extLst>
                        <a:ext uri="{28A0092B-C50C-407E-A947-70E740481C1C}">
                          <a14:useLocalDpi xmlns:a14="http://schemas.microsoft.com/office/drawing/2010/main" val="0"/>
                        </a:ext>
                      </a:extLst>
                    </a:blip>
                    <a:stretch>
                      <a:fillRect/>
                    </a:stretch>
                  </pic:blipFill>
                  <pic:spPr>
                    <a:xfrm>
                      <a:off x="0" y="0"/>
                      <a:ext cx="5760000" cy="2919323"/>
                    </a:xfrm>
                    <a:prstGeom prst="rect">
                      <a:avLst/>
                    </a:prstGeom>
                  </pic:spPr>
                </pic:pic>
              </a:graphicData>
            </a:graphic>
          </wp:inline>
        </w:drawing>
      </w:r>
    </w:p>
    <w:p w14:paraId="79E2822D" w14:textId="77777777" w:rsidR="003C78E5" w:rsidRPr="003C78E5" w:rsidRDefault="003C78E5" w:rsidP="003C78E5">
      <w:pPr>
        <w:pStyle w:val="Source"/>
      </w:pPr>
    </w:p>
    <w:p w14:paraId="240EECB3" w14:textId="77777777" w:rsidR="00547D6A" w:rsidRPr="00547D6A" w:rsidRDefault="00547D6A" w:rsidP="00636C13">
      <w:pPr>
        <w:pStyle w:val="Heading2"/>
      </w:pPr>
      <w:bookmarkStart w:id="11" w:name="_Toc47714350"/>
      <w:bookmarkStart w:id="12" w:name="_Toc47715202"/>
      <w:bookmarkStart w:id="13" w:name="_Toc71731582"/>
      <w:bookmarkStart w:id="14" w:name="_Toc72230964"/>
      <w:bookmarkEnd w:id="11"/>
      <w:bookmarkEnd w:id="12"/>
      <w:r w:rsidRPr="004B26EA">
        <w:rPr>
          <w:rStyle w:val="Italics"/>
        </w:rPr>
        <w:t>Environment Effects Act 1978</w:t>
      </w:r>
      <w:r w:rsidRPr="00547D6A">
        <w:t xml:space="preserve"> (Vic)</w:t>
      </w:r>
      <w:bookmarkEnd w:id="13"/>
      <w:bookmarkEnd w:id="14"/>
    </w:p>
    <w:p w14:paraId="6B9B5FDF" w14:textId="77777777" w:rsidR="00547D6A" w:rsidRPr="00547D6A" w:rsidRDefault="00547D6A" w:rsidP="00636C13">
      <w:pPr>
        <w:pStyle w:val="Heading3"/>
      </w:pPr>
      <w:bookmarkStart w:id="15" w:name="_Toc71731583"/>
      <w:bookmarkStart w:id="16" w:name="_Toc72230965"/>
      <w:r>
        <w:t xml:space="preserve">EES </w:t>
      </w:r>
      <w:r w:rsidRPr="00636C13">
        <w:t>purpose</w:t>
      </w:r>
      <w:bookmarkEnd w:id="15"/>
      <w:bookmarkEnd w:id="16"/>
    </w:p>
    <w:p w14:paraId="42B9EDD7" w14:textId="4F7FFAB8" w:rsidR="00547D6A" w:rsidRPr="00636C13" w:rsidRDefault="0095174B" w:rsidP="00636C13">
      <w:pPr>
        <w:pStyle w:val="BodyText"/>
      </w:pPr>
      <w:r>
        <w:t xml:space="preserve">The </w:t>
      </w:r>
      <w:r w:rsidR="00A04B1A">
        <w:t>EE</w:t>
      </w:r>
      <w:r w:rsidR="00547D6A" w:rsidRPr="00636C13">
        <w:t xml:space="preserve"> Act sets out the process for the Minister to require the proponent of a project to prepare an EES</w:t>
      </w:r>
      <w:r>
        <w:t xml:space="preserve"> where a project is considered to have a significant environmental or social effect pursuant to the </w:t>
      </w:r>
      <w:r w:rsidR="00763CC9" w:rsidRPr="00763CC9">
        <w:t>Ministerial guidelines for assessment of environmental effects (seventh edition, 2006)</w:t>
      </w:r>
      <w:r w:rsidR="00547D6A" w:rsidRPr="00636C13">
        <w:t xml:space="preserve">. </w:t>
      </w:r>
    </w:p>
    <w:p w14:paraId="71E62672" w14:textId="74291E14" w:rsidR="00547D6A" w:rsidRPr="00636C13" w:rsidRDefault="00547D6A" w:rsidP="00636C13">
      <w:pPr>
        <w:pStyle w:val="BodyText"/>
      </w:pPr>
      <w:r w:rsidRPr="00636C13">
        <w:t xml:space="preserve">The EES process provides for a comprehensive and integrated assessment of the environmental effects of a project. It enables an assessment to be made as to whether the potential for adverse </w:t>
      </w:r>
      <w:r w:rsidR="008D743A">
        <w:t xml:space="preserve">environmental </w:t>
      </w:r>
      <w:r w:rsidRPr="00636C13">
        <w:t xml:space="preserve">effects are capable of being managed to achieve acceptable outcomes in accordance with project objectives. This includes the development of an </w:t>
      </w:r>
      <w:r w:rsidR="000F397E">
        <w:t>outline of the e</w:t>
      </w:r>
      <w:r w:rsidRPr="00636C13">
        <w:t xml:space="preserve">nvironmental </w:t>
      </w:r>
      <w:r w:rsidR="000F397E">
        <w:t>m</w:t>
      </w:r>
      <w:r w:rsidR="000F397E" w:rsidRPr="00636C13">
        <w:t xml:space="preserve">anagement </w:t>
      </w:r>
      <w:r w:rsidR="000F397E">
        <w:t>f</w:t>
      </w:r>
      <w:r w:rsidR="000F397E" w:rsidRPr="00636C13">
        <w:t xml:space="preserve">ramework </w:t>
      </w:r>
      <w:r w:rsidRPr="00636C13">
        <w:t>(EMF)</w:t>
      </w:r>
      <w:r w:rsidR="000F397E">
        <w:t xml:space="preserve"> that includes</w:t>
      </w:r>
      <w:r w:rsidRPr="00636C13" w:rsidDel="000F397E">
        <w:t xml:space="preserve"> </w:t>
      </w:r>
      <w:r w:rsidRPr="00636C13">
        <w:t xml:space="preserve">a set of </w:t>
      </w:r>
      <w:r w:rsidR="00A04B1A">
        <w:t>e</w:t>
      </w:r>
      <w:r w:rsidR="00A04B1A" w:rsidRPr="00636C13">
        <w:t xml:space="preserve">nvironmental </w:t>
      </w:r>
      <w:r w:rsidR="00A04B1A">
        <w:t>m</w:t>
      </w:r>
      <w:r w:rsidR="00A04B1A" w:rsidRPr="00636C13">
        <w:t xml:space="preserve">anagement </w:t>
      </w:r>
      <w:r w:rsidR="00A04B1A">
        <w:t>m</w:t>
      </w:r>
      <w:r w:rsidR="00A04B1A" w:rsidRPr="00636C13">
        <w:t xml:space="preserve">easures </w:t>
      </w:r>
      <w:r w:rsidRPr="00636C13">
        <w:t xml:space="preserve">that will apply to the ongoing design, development and implementation of </w:t>
      </w:r>
      <w:r w:rsidR="00B028E3">
        <w:t>a</w:t>
      </w:r>
      <w:r w:rsidR="00B028E3" w:rsidRPr="00636C13">
        <w:t xml:space="preserve"> </w:t>
      </w:r>
      <w:r w:rsidR="00133C5C">
        <w:t>p</w:t>
      </w:r>
      <w:r w:rsidRPr="00636C13">
        <w:t>roject.</w:t>
      </w:r>
    </w:p>
    <w:p w14:paraId="255DDF59" w14:textId="0CE1FE03" w:rsidR="00547D6A" w:rsidRDefault="00547D6A" w:rsidP="00636C13">
      <w:pPr>
        <w:pStyle w:val="BodyText"/>
      </w:pPr>
      <w:r w:rsidRPr="00636C13">
        <w:t>The EES does not provide an approval, but</w:t>
      </w:r>
      <w:r w:rsidR="00371216">
        <w:t xml:space="preserve"> informs</w:t>
      </w:r>
      <w:r w:rsidRPr="00636C13">
        <w:t xml:space="preserve"> an assessment </w:t>
      </w:r>
      <w:r w:rsidR="00371216">
        <w:t xml:space="preserve">by the Minister </w:t>
      </w:r>
      <w:r w:rsidRPr="00636C13">
        <w:t xml:space="preserve">of the environmental effects of </w:t>
      </w:r>
      <w:r w:rsidR="00B028E3">
        <w:t>a</w:t>
      </w:r>
      <w:r w:rsidR="00B028E3" w:rsidRPr="00636C13">
        <w:t xml:space="preserve"> </w:t>
      </w:r>
      <w:r w:rsidR="00133C5C">
        <w:t>p</w:t>
      </w:r>
      <w:r w:rsidRPr="00636C13">
        <w:t>roject</w:t>
      </w:r>
      <w:r w:rsidR="00371216">
        <w:t xml:space="preserve"> and whether the likely environmental effects of </w:t>
      </w:r>
      <w:r w:rsidR="00B028E3">
        <w:t xml:space="preserve">a </w:t>
      </w:r>
      <w:r w:rsidR="00133C5C">
        <w:t>p</w:t>
      </w:r>
      <w:r w:rsidR="00371216">
        <w:t>roject are acceptable</w:t>
      </w:r>
      <w:r w:rsidRPr="00636C13">
        <w:t xml:space="preserve">. The Minister’s assessment of the EES </w:t>
      </w:r>
      <w:r w:rsidR="00371216">
        <w:t>is then used to inform</w:t>
      </w:r>
      <w:r w:rsidRPr="00636C13">
        <w:t xml:space="preserve"> statutory decision</w:t>
      </w:r>
      <w:r w:rsidR="00133C5C">
        <w:t>-</w:t>
      </w:r>
      <w:r w:rsidRPr="00636C13">
        <w:t>makers about the</w:t>
      </w:r>
      <w:r>
        <w:t xml:space="preserve"> approvals required for </w:t>
      </w:r>
      <w:r w:rsidR="00B028E3">
        <w:t>a</w:t>
      </w:r>
      <w:r>
        <w:t xml:space="preserve"> project to proceed. </w:t>
      </w:r>
    </w:p>
    <w:p w14:paraId="1D4E1D98" w14:textId="77777777" w:rsidR="00547D6A" w:rsidRPr="00547D6A" w:rsidRDefault="00547D6A" w:rsidP="00547D6A">
      <w:pPr>
        <w:pStyle w:val="Heading3"/>
      </w:pPr>
      <w:bookmarkStart w:id="17" w:name="_Toc71731584"/>
      <w:bookmarkStart w:id="18" w:name="_Toc72230966"/>
      <w:r>
        <w:lastRenderedPageBreak/>
        <w:t>Implications for the Project</w:t>
      </w:r>
      <w:bookmarkEnd w:id="17"/>
      <w:bookmarkEnd w:id="18"/>
    </w:p>
    <w:p w14:paraId="58D215E7" w14:textId="76A94C9A" w:rsidR="00547D6A" w:rsidRDefault="00547D6A" w:rsidP="00D62B1F">
      <w:pPr>
        <w:pStyle w:val="BodyText"/>
      </w:pPr>
      <w:r>
        <w:t xml:space="preserve">On </w:t>
      </w:r>
      <w:r w:rsidR="00953C10">
        <w:t>2</w:t>
      </w:r>
      <w:r>
        <w:t xml:space="preserve">2 December 2019, the Minister determined that the Project would require an </w:t>
      </w:r>
      <w:r w:rsidR="00AB1083">
        <w:t>EES under the EE</w:t>
      </w:r>
      <w:r w:rsidR="00E613EA">
        <w:t> </w:t>
      </w:r>
      <w:r>
        <w:t xml:space="preserve">Act </w:t>
      </w:r>
      <w:r w:rsidR="00D114BD">
        <w:t xml:space="preserve">as </w:t>
      </w:r>
      <w:r w:rsidR="00B028E3">
        <w:t>it</w:t>
      </w:r>
      <w:r>
        <w:t xml:space="preserve"> has </w:t>
      </w:r>
      <w:r w:rsidR="001E2C59">
        <w:t>"</w:t>
      </w:r>
      <w:r>
        <w:t xml:space="preserve">the potential for significant environmental effects, in particular on native vegetation, habitat of terrestrial and aquatic species listed under the </w:t>
      </w:r>
      <w:r w:rsidR="00673839" w:rsidRPr="004B26EA">
        <w:rPr>
          <w:rStyle w:val="Italics"/>
          <w:i w:val="0"/>
        </w:rPr>
        <w:t>FFG Act</w:t>
      </w:r>
      <w:r w:rsidR="00673839">
        <w:rPr>
          <w:rStyle w:val="Italics"/>
        </w:rPr>
        <w:t>,</w:t>
      </w:r>
      <w:r>
        <w:t xml:space="preserve"> ecologically sensitive waterways and wetlands, and on Aboriginal cultural heritage</w:t>
      </w:r>
      <w:r w:rsidR="001E2C59">
        <w:t>"</w:t>
      </w:r>
      <w:r>
        <w:t xml:space="preserve">. Refer to Chapter 1 </w:t>
      </w:r>
      <w:r w:rsidRPr="004B26EA">
        <w:rPr>
          <w:rStyle w:val="Italics"/>
        </w:rPr>
        <w:t>Introduction</w:t>
      </w:r>
      <w:r>
        <w:t xml:space="preserve"> for further detail about this decision.</w:t>
      </w:r>
    </w:p>
    <w:p w14:paraId="0E9F15EA" w14:textId="5C98B046" w:rsidR="00547D6A" w:rsidRDefault="00547D6A" w:rsidP="00547D6A">
      <w:pPr>
        <w:pStyle w:val="BodyText"/>
      </w:pPr>
      <w:r>
        <w:t>Following this decision, the Minister issue</w:t>
      </w:r>
      <w:r w:rsidR="00A04B1A">
        <w:t>d</w:t>
      </w:r>
      <w:r>
        <w:t xml:space="preserve"> </w:t>
      </w:r>
      <w:r w:rsidR="00AB1083">
        <w:t xml:space="preserve">the </w:t>
      </w:r>
      <w:r>
        <w:t>draft EES scoping requirements for public comment, which the Minister then finalised and issued</w:t>
      </w:r>
      <w:r w:rsidR="00AB1083">
        <w:t xml:space="preserve"> </w:t>
      </w:r>
      <w:r w:rsidR="00953C10">
        <w:t>in August 2020</w:t>
      </w:r>
      <w:r>
        <w:t xml:space="preserve">. This EES has been prepared in accordance with </w:t>
      </w:r>
      <w:r w:rsidR="005E1A32">
        <w:t xml:space="preserve">the final </w:t>
      </w:r>
      <w:r>
        <w:t>scoping requirements issued by the Minister.</w:t>
      </w:r>
    </w:p>
    <w:p w14:paraId="6D325FAF" w14:textId="57E252FA" w:rsidR="00547D6A" w:rsidRDefault="00547D6A" w:rsidP="00547D6A">
      <w:pPr>
        <w:pStyle w:val="BodyText"/>
      </w:pPr>
      <w:r>
        <w:t>This EES assesses the potential effects of the Project on the environment in accordance with the EES</w:t>
      </w:r>
      <w:r w:rsidR="00E613EA">
        <w:t> </w:t>
      </w:r>
      <w:r>
        <w:t xml:space="preserve">scoping requirements. It has been prepared in consultation with stakeholders via the Technical Reference Group (TRG), as required by the EES scoping requirements. The role and membership of the TRG is discussed in </w:t>
      </w:r>
      <w:r w:rsidRPr="00FA23AE">
        <w:t xml:space="preserve">Chapter </w:t>
      </w:r>
      <w:r w:rsidR="00E537AB">
        <w:t>6</w:t>
      </w:r>
      <w:r>
        <w:t xml:space="preserve"> </w:t>
      </w:r>
      <w:r w:rsidR="00E537AB">
        <w:rPr>
          <w:rStyle w:val="Italics"/>
        </w:rPr>
        <w:t>Community and stakeholder consultation</w:t>
      </w:r>
      <w:r>
        <w:t>. Following the public exhibition of this EES</w:t>
      </w:r>
      <w:r w:rsidR="00DD10EA">
        <w:t xml:space="preserve"> and receipt of submissions</w:t>
      </w:r>
      <w:r>
        <w:t xml:space="preserve">, </w:t>
      </w:r>
      <w:r w:rsidR="003F5A66">
        <w:t>the EES and submissions are</w:t>
      </w:r>
      <w:r w:rsidR="00DD10EA">
        <w:t xml:space="preserve"> </w:t>
      </w:r>
      <w:r w:rsidR="0006160C">
        <w:t>likely</w:t>
      </w:r>
      <w:r w:rsidR="000F397E">
        <w:t xml:space="preserve"> </w:t>
      </w:r>
      <w:r w:rsidR="003F5A66">
        <w:t xml:space="preserve">to </w:t>
      </w:r>
      <w:r>
        <w:t xml:space="preserve">be </w:t>
      </w:r>
      <w:r w:rsidR="00D62B1F">
        <w:t xml:space="preserve">considered </w:t>
      </w:r>
      <w:r>
        <w:t>by an independent Inquiry and Advisory Committee appointed by the Minister for Planning.</w:t>
      </w:r>
      <w:r w:rsidR="003F5A66">
        <w:t xml:space="preserve"> The Minister would consider the report from the Inquiry and Advisory Committee</w:t>
      </w:r>
      <w:r w:rsidR="003F5A66" w:rsidRPr="003F5A66">
        <w:t xml:space="preserve"> as well as the other matters as discussed above in the Minister's assessment of environmental effects of the Project.</w:t>
      </w:r>
      <w:r w:rsidR="003F5A66">
        <w:t xml:space="preserve"> </w:t>
      </w:r>
      <w:r>
        <w:t>The</w:t>
      </w:r>
      <w:r w:rsidR="00E613EA">
        <w:t> </w:t>
      </w:r>
      <w:r>
        <w:t xml:space="preserve">EES assessment process </w:t>
      </w:r>
      <w:r w:rsidR="003F5A66">
        <w:t>is</w:t>
      </w:r>
      <w:r>
        <w:t xml:space="preserve"> further detailed in the scoping requirements</w:t>
      </w:r>
      <w:r w:rsidR="00DD10EA">
        <w:t xml:space="preserve"> (Section </w:t>
      </w:r>
      <w:r w:rsidR="00DD10EA">
        <w:fldChar w:fldCharType="begin"/>
      </w:r>
      <w:r w:rsidR="00DD10EA">
        <w:instrText xml:space="preserve"> REF _Ref47531747 \r \h </w:instrText>
      </w:r>
      <w:r w:rsidR="00DD10EA">
        <w:fldChar w:fldCharType="separate"/>
      </w:r>
      <w:r w:rsidR="007D394B">
        <w:t>5.8</w:t>
      </w:r>
      <w:r w:rsidR="00DD10EA">
        <w:fldChar w:fldCharType="end"/>
      </w:r>
      <w:r w:rsidR="00DD10EA">
        <w:t>)</w:t>
      </w:r>
      <w:r>
        <w:t>.</w:t>
      </w:r>
    </w:p>
    <w:p w14:paraId="4F042C7E" w14:textId="28DD0BD9" w:rsidR="003F5A66" w:rsidRPr="003F5A66" w:rsidRDefault="003F5A66" w:rsidP="00A6198F">
      <w:pPr>
        <w:pStyle w:val="BodyText"/>
      </w:pPr>
      <w:r w:rsidRPr="003F5A66">
        <w:t>Following the public exhibition of the application for a pipeline licence and receipt of submissions, the application and submissions are likely to be considered by a Panel appointed by the Minister for Energy, Environment and Climate Change. The Minister would consider the report from the Panel.</w:t>
      </w:r>
    </w:p>
    <w:p w14:paraId="6E2BAC12" w14:textId="77777777" w:rsidR="003F5A66" w:rsidRPr="003F5A66" w:rsidRDefault="003F5A66" w:rsidP="00E613EA">
      <w:pPr>
        <w:pStyle w:val="BodyText"/>
        <w:ind w:right="-113"/>
      </w:pPr>
      <w:r w:rsidRPr="003F5A66">
        <w:t xml:space="preserve">If both an EES Inquiry and a Pipeline Panel are required, the same members would likely be appointed for both the Inquiry and the Panel so that the submissions are heard and assessed together. </w:t>
      </w:r>
    </w:p>
    <w:p w14:paraId="408D9B0F" w14:textId="77777777" w:rsidR="00547D6A" w:rsidRPr="00547D6A" w:rsidRDefault="00547D6A" w:rsidP="00547D6A">
      <w:pPr>
        <w:pStyle w:val="Heading2"/>
      </w:pPr>
      <w:bookmarkStart w:id="19" w:name="_Toc71731585"/>
      <w:bookmarkStart w:id="20" w:name="_Toc72230967"/>
      <w:r>
        <w:t>Princip</w:t>
      </w:r>
      <w:r w:rsidRPr="00547D6A">
        <w:t>al approvals legislation</w:t>
      </w:r>
      <w:bookmarkEnd w:id="19"/>
      <w:bookmarkEnd w:id="20"/>
    </w:p>
    <w:p w14:paraId="13826A3D" w14:textId="7167444B" w:rsidR="00547D6A" w:rsidRPr="00547D6A" w:rsidRDefault="00547D6A" w:rsidP="00547D6A">
      <w:pPr>
        <w:pStyle w:val="BodyText"/>
      </w:pPr>
      <w:r w:rsidRPr="00547D6A">
        <w:t xml:space="preserve">The scoping requirements for the Project require the EES to </w:t>
      </w:r>
      <w:r w:rsidR="001E2C59">
        <w:t>"</w:t>
      </w:r>
      <w:r w:rsidRPr="00547D6A">
        <w:t>identify legislation, regulations, policies, guidelines and standards, and assess their specific requirements or implications for the Project, particularly in relation to approvals</w:t>
      </w:r>
      <w:r w:rsidR="001E2C59">
        <w:t>"</w:t>
      </w:r>
      <w:r w:rsidRPr="00547D6A">
        <w:t>.</w:t>
      </w:r>
    </w:p>
    <w:p w14:paraId="0D326D32" w14:textId="77777777" w:rsidR="00547D6A" w:rsidRPr="00547D6A" w:rsidRDefault="00547D6A" w:rsidP="00547D6A">
      <w:pPr>
        <w:pStyle w:val="BodyText"/>
      </w:pPr>
      <w:r w:rsidRPr="00547D6A">
        <w:t xml:space="preserve">This section outlines the principal legislation relevant to the Project approvals. Other legislation, regulations, policies, guidelines and standards relevant to the individual technical studies are outlined in each technical report. </w:t>
      </w:r>
    </w:p>
    <w:p w14:paraId="6293D221" w14:textId="77777777" w:rsidR="00547D6A" w:rsidRPr="00547D6A" w:rsidRDefault="00547D6A" w:rsidP="00500036">
      <w:pPr>
        <w:pStyle w:val="Heading3"/>
      </w:pPr>
      <w:bookmarkStart w:id="21" w:name="_Toc71731586"/>
      <w:bookmarkStart w:id="22" w:name="_Toc72230968"/>
      <w:r w:rsidRPr="004B26EA">
        <w:rPr>
          <w:rStyle w:val="Italics"/>
        </w:rPr>
        <w:t>Environment Protection and Biodiversity Conservation Act 1999</w:t>
      </w:r>
      <w:r w:rsidRPr="0034100C">
        <w:t xml:space="preserve"> </w:t>
      </w:r>
      <w:r w:rsidRPr="00547D6A">
        <w:t>(</w:t>
      </w:r>
      <w:proofErr w:type="spellStart"/>
      <w:r w:rsidRPr="00547D6A">
        <w:t>Cth</w:t>
      </w:r>
      <w:proofErr w:type="spellEnd"/>
      <w:r w:rsidRPr="00547D6A">
        <w:t>)</w:t>
      </w:r>
      <w:bookmarkEnd w:id="21"/>
      <w:bookmarkEnd w:id="22"/>
    </w:p>
    <w:p w14:paraId="5BF13A51" w14:textId="5FA6D76F" w:rsidR="00547D6A" w:rsidRDefault="00547D6A" w:rsidP="00547D6A">
      <w:pPr>
        <w:pStyle w:val="BodyText"/>
      </w:pPr>
      <w:r>
        <w:t xml:space="preserve">The EPBC Act is established to protect and manage designated Matters of National Environmental Significance (MNES). If the Minister for the Environment decides under the EPBC Act that a project </w:t>
      </w:r>
      <w:r w:rsidR="00DD10EA">
        <w:t xml:space="preserve">is likely to </w:t>
      </w:r>
      <w:r>
        <w:t xml:space="preserve">have a significant impact on MNES, or </w:t>
      </w:r>
      <w:r w:rsidR="00763CC9">
        <w:t xml:space="preserve">to </w:t>
      </w:r>
      <w:r>
        <w:t xml:space="preserve">involve Commonwealth land, the project is designated a </w:t>
      </w:r>
      <w:r w:rsidR="001E2C59">
        <w:t>"</w:t>
      </w:r>
      <w:r>
        <w:t>controlled action</w:t>
      </w:r>
      <w:r w:rsidR="001E2C59">
        <w:t>"</w:t>
      </w:r>
      <w:r>
        <w:t xml:space="preserve"> that must be assessed and approved by the Minister for the Environment before it can proceed.</w:t>
      </w:r>
    </w:p>
    <w:p w14:paraId="505718B5" w14:textId="77777777" w:rsidR="00547D6A" w:rsidRPr="008C4861" w:rsidRDefault="00547D6A" w:rsidP="008C4861">
      <w:pPr>
        <w:pStyle w:val="Heading4"/>
      </w:pPr>
      <w:r w:rsidRPr="008C4861">
        <w:lastRenderedPageBreak/>
        <w:t>Implications for the Project</w:t>
      </w:r>
    </w:p>
    <w:p w14:paraId="385BA515" w14:textId="2B6E7D63" w:rsidR="00547D6A" w:rsidRPr="00547D6A" w:rsidRDefault="00547D6A" w:rsidP="008C4861">
      <w:pPr>
        <w:pStyle w:val="Heading5"/>
      </w:pPr>
      <w:r>
        <w:t xml:space="preserve">Existing EPBC </w:t>
      </w:r>
      <w:r w:rsidRPr="00500036">
        <w:t>approvals</w:t>
      </w:r>
    </w:p>
    <w:p w14:paraId="2ED8DB7D" w14:textId="30FA3325" w:rsidR="00547D6A" w:rsidRDefault="00547D6A" w:rsidP="00547D6A">
      <w:pPr>
        <w:pStyle w:val="BodyText"/>
      </w:pPr>
      <w:r>
        <w:t xml:space="preserve">Part of the Project is located within a Melbourne Strategic Assessment (MSA) area approved under Part 10 of the EPBC Act </w:t>
      </w:r>
      <w:r w:rsidRPr="00CE68E0">
        <w:t>(approved MSA areas)</w:t>
      </w:r>
      <w:r>
        <w:t xml:space="preserve">. </w:t>
      </w:r>
      <w:r w:rsidRPr="00CE68E0">
        <w:t xml:space="preserve">For all </w:t>
      </w:r>
      <w:r w:rsidR="001850AD">
        <w:t>projects</w:t>
      </w:r>
      <w:r w:rsidR="001850AD" w:rsidRPr="00CE68E0">
        <w:t xml:space="preserve"> </w:t>
      </w:r>
      <w:r w:rsidRPr="00CE68E0">
        <w:t xml:space="preserve">within the </w:t>
      </w:r>
      <w:r>
        <w:t xml:space="preserve">approved MSA </w:t>
      </w:r>
      <w:r w:rsidRPr="00CE68E0">
        <w:t xml:space="preserve">areas, no further approvals are required under the EPBC Act for the </w:t>
      </w:r>
      <w:r w:rsidR="001850AD">
        <w:t>P</w:t>
      </w:r>
      <w:r w:rsidRPr="00CE68E0">
        <w:t xml:space="preserve">roject provided </w:t>
      </w:r>
      <w:r w:rsidR="001850AD">
        <w:t xml:space="preserve">certain </w:t>
      </w:r>
      <w:r w:rsidRPr="00CE68E0">
        <w:t>conditions are adhered to</w:t>
      </w:r>
      <w:r w:rsidR="001850AD">
        <w:t>, including</w:t>
      </w:r>
      <w:r>
        <w:t>:</w:t>
      </w:r>
    </w:p>
    <w:p w14:paraId="5069217A" w14:textId="74819778" w:rsidR="00547D6A" w:rsidRPr="00547D6A" w:rsidRDefault="00547D6A" w:rsidP="00636C13">
      <w:pPr>
        <w:pStyle w:val="BodyBullet1"/>
      </w:pPr>
      <w:r w:rsidRPr="00CE68E0">
        <w:t>The requirement to comply with the Biodiversity Conservation Strategy for Melbourne’s Growth Corridors (DEPI 2013a) (the BCS) which identifies nominated Conservation Areas which require</w:t>
      </w:r>
      <w:r w:rsidR="00E613EA">
        <w:t> </w:t>
      </w:r>
      <w:r w:rsidRPr="00CE68E0">
        <w:t>protection for conservation within the MSA area</w:t>
      </w:r>
      <w:r w:rsidR="001850AD">
        <w:t xml:space="preserve"> and any applicable sub-regional species</w:t>
      </w:r>
      <w:r w:rsidR="00E613EA">
        <w:t> </w:t>
      </w:r>
      <w:r w:rsidR="001850AD">
        <w:t>strategies</w:t>
      </w:r>
    </w:p>
    <w:p w14:paraId="6BAFB976" w14:textId="05AC1063" w:rsidR="00744724" w:rsidRPr="00744724" w:rsidRDefault="001850AD" w:rsidP="00744724">
      <w:pPr>
        <w:pStyle w:val="BodyBullet1"/>
      </w:pPr>
      <w:r>
        <w:t>Any</w:t>
      </w:r>
      <w:r w:rsidRPr="00CE68E0">
        <w:t xml:space="preserve"> </w:t>
      </w:r>
      <w:r w:rsidR="00547D6A" w:rsidRPr="00CE68E0">
        <w:t xml:space="preserve">requirement to </w:t>
      </w:r>
      <w:r>
        <w:t>meet an</w:t>
      </w:r>
      <w:r w:rsidR="00744724">
        <w:t xml:space="preserve"> Environment Mitigation Lev</w:t>
      </w:r>
      <w:r>
        <w:t xml:space="preserve">y under the </w:t>
      </w:r>
      <w:r>
        <w:rPr>
          <w:rStyle w:val="Italics"/>
        </w:rPr>
        <w:t xml:space="preserve">Melbourne Strategic Assessment (Environmental Mitigation Levy) Act 2020 </w:t>
      </w:r>
      <w:r>
        <w:t>(Vic) to fund mitigation measures</w:t>
      </w:r>
      <w:r w:rsidR="006E27B8">
        <w:t>.</w:t>
      </w:r>
      <w:r w:rsidR="006E27B8" w:rsidRPr="00CE68E0" w:rsidDel="00A04B1A">
        <w:t xml:space="preserve"> </w:t>
      </w:r>
      <w:r w:rsidR="00744724" w:rsidRPr="00932E37">
        <w:t>The</w:t>
      </w:r>
      <w:r w:rsidR="00CB4637">
        <w:t> </w:t>
      </w:r>
      <w:r w:rsidR="00744724" w:rsidRPr="00932E37">
        <w:t xml:space="preserve">liability to pay an MSA levy is triggered when a levy event occurs within the levy area, where habitat compensation obligations have not been previously met. </w:t>
      </w:r>
      <w:r w:rsidR="00A376E0">
        <w:t>It is noted that parts of the Project</w:t>
      </w:r>
      <w:r w:rsidR="00CB4637">
        <w:t> </w:t>
      </w:r>
      <w:r w:rsidR="00A376E0">
        <w:t xml:space="preserve">to be undertaken within privately owned land </w:t>
      </w:r>
      <w:r w:rsidR="00744724">
        <w:t>are</w:t>
      </w:r>
      <w:r w:rsidR="00A376E0">
        <w:t xml:space="preserve"> exempt from this requirement under section 6(e)</w:t>
      </w:r>
      <w:r w:rsidR="004B5C2D">
        <w:t xml:space="preserve"> </w:t>
      </w:r>
      <w:r w:rsidR="00A376E0">
        <w:t>(</w:t>
      </w:r>
      <w:proofErr w:type="spellStart"/>
      <w:r w:rsidR="00A376E0">
        <w:t>i</w:t>
      </w:r>
      <w:proofErr w:type="spellEnd"/>
      <w:r w:rsidR="00A376E0">
        <w:t>) and (ii) of the Act, which refers to the construction of prescribed minor infrastructure</w:t>
      </w:r>
      <w:r w:rsidR="00067B05">
        <w:t>,</w:t>
      </w:r>
      <w:r w:rsidR="00A376E0">
        <w:t xml:space="preserve"> including gas. </w:t>
      </w:r>
      <w:r w:rsidR="00744724">
        <w:t xml:space="preserve">The Environment Mitigation Levy is discussed further in </w:t>
      </w:r>
      <w:r w:rsidR="00744724" w:rsidRPr="008226C7">
        <w:t xml:space="preserve">Chapter </w:t>
      </w:r>
      <w:r w:rsidR="00744724">
        <w:t>7</w:t>
      </w:r>
      <w:r w:rsidR="00744724" w:rsidRPr="008226C7">
        <w:t xml:space="preserve"> </w:t>
      </w:r>
      <w:r w:rsidR="00744724" w:rsidRPr="004B26EA">
        <w:rPr>
          <w:rStyle w:val="Italics"/>
        </w:rPr>
        <w:t>Biodiversity</w:t>
      </w:r>
      <w:r w:rsidR="00744724">
        <w:rPr>
          <w:rStyle w:val="Italics"/>
        </w:rPr>
        <w:t xml:space="preserve"> and habitats </w:t>
      </w:r>
      <w:r w:rsidR="00744724" w:rsidRPr="003C78E5">
        <w:rPr>
          <w:rStyle w:val="Removedirectformatting"/>
        </w:rPr>
        <w:t xml:space="preserve">and details of the levy applicable to the Project are included in </w:t>
      </w:r>
      <w:r w:rsidR="00744724" w:rsidRPr="00B607F6">
        <w:t xml:space="preserve">EES </w:t>
      </w:r>
      <w:r w:rsidR="00744724" w:rsidRPr="003C78E5">
        <w:rPr>
          <w:rStyle w:val="Italics"/>
        </w:rPr>
        <w:t>Attachment II Ecological Offset Strategy</w:t>
      </w:r>
      <w:r w:rsidR="00744724" w:rsidRPr="00744724">
        <w:t>.</w:t>
      </w:r>
    </w:p>
    <w:tbl>
      <w:tblPr>
        <w:tblW w:w="0" w:type="auto"/>
        <w:tblLook w:val="04A0" w:firstRow="1" w:lastRow="0" w:firstColumn="1" w:lastColumn="0" w:noHBand="0" w:noVBand="1"/>
      </w:tblPr>
      <w:tblGrid>
        <w:gridCol w:w="5812"/>
        <w:gridCol w:w="3243"/>
      </w:tblGrid>
      <w:tr w:rsidR="00CB4637" w14:paraId="55CE13C2" w14:textId="77777777" w:rsidTr="00CB4637">
        <w:tc>
          <w:tcPr>
            <w:tcW w:w="5812" w:type="dxa"/>
            <w:tcBorders>
              <w:right w:val="single" w:sz="12" w:space="0" w:color="1C4483" w:themeColor="accent1"/>
            </w:tcBorders>
            <w:tcMar>
              <w:left w:w="0" w:type="dxa"/>
              <w:right w:w="227" w:type="dxa"/>
            </w:tcMar>
          </w:tcPr>
          <w:p w14:paraId="0D6A9EDE" w14:textId="77777777" w:rsidR="00CB4637" w:rsidRDefault="00CB4637" w:rsidP="00CB4637">
            <w:pPr>
              <w:pStyle w:val="BodyText"/>
              <w:spacing w:before="120"/>
            </w:pPr>
            <w:r w:rsidRPr="00CE68E0">
              <w:t>Land covered by the BCS has been subject to vegetation and habitat mapping (</w:t>
            </w:r>
            <w:r>
              <w:t>t</w:t>
            </w:r>
            <w:r w:rsidRPr="00CE68E0">
              <w:t xml:space="preserve">imestamping) conducted under the </w:t>
            </w:r>
            <w:r w:rsidRPr="00636C13">
              <w:t>supervision</w:t>
            </w:r>
            <w:r w:rsidRPr="00CE68E0">
              <w:t xml:space="preserve"> of the DELWP and the Victorian Planning Authority (VPA). The BCS has been approved under Section 146B of the EPBC Act (Part 10 approval).</w:t>
            </w:r>
            <w:r>
              <w:t xml:space="preserve"> </w:t>
            </w:r>
          </w:p>
          <w:p w14:paraId="4E5D5116" w14:textId="1AC193E2" w:rsidR="00CB4637" w:rsidRDefault="00CB4637" w:rsidP="00CB4637">
            <w:pPr>
              <w:pStyle w:val="BodyText"/>
            </w:pPr>
            <w:r>
              <w:t xml:space="preserve">Specific </w:t>
            </w:r>
            <w:r w:rsidRPr="00636C13">
              <w:t>locations</w:t>
            </w:r>
            <w:r>
              <w:t xml:space="preserve"> which overlap with the MSA areas are shown in </w:t>
            </w:r>
            <w:r w:rsidR="00E613EA">
              <w:fldChar w:fldCharType="begin"/>
            </w:r>
            <w:r w:rsidR="00E613EA">
              <w:instrText xml:space="preserve"> REF _Ref70884882 \h </w:instrText>
            </w:r>
            <w:r w:rsidR="00E613EA">
              <w:fldChar w:fldCharType="separate"/>
            </w:r>
            <w:r w:rsidR="007D394B">
              <w:t>Figure </w:t>
            </w:r>
            <w:r w:rsidR="007D394B">
              <w:rPr>
                <w:noProof/>
              </w:rPr>
              <w:t>5</w:t>
            </w:r>
            <w:r w:rsidR="007D394B">
              <w:noBreakHyphen/>
            </w:r>
            <w:r w:rsidR="007D394B">
              <w:rPr>
                <w:noProof/>
              </w:rPr>
              <w:t>2</w:t>
            </w:r>
            <w:r w:rsidR="00E613EA">
              <w:fldChar w:fldCharType="end"/>
            </w:r>
            <w:r>
              <w:t xml:space="preserve"> and include:</w:t>
            </w:r>
          </w:p>
          <w:p w14:paraId="6CFC99CC" w14:textId="77777777" w:rsidR="00CB4637" w:rsidRPr="00547D6A" w:rsidRDefault="00CB4637" w:rsidP="00CB4637">
            <w:pPr>
              <w:pStyle w:val="BodyBullet1"/>
            </w:pPr>
            <w:r>
              <w:t>KP 0 – 3.2 is within an approved MSA area (UGB 2010)</w:t>
            </w:r>
          </w:p>
          <w:p w14:paraId="31A51B06" w14:textId="77777777" w:rsidR="00CB4637" w:rsidRPr="00547D6A" w:rsidRDefault="00CB4637" w:rsidP="00CB4637">
            <w:pPr>
              <w:pStyle w:val="BodyBullet1"/>
            </w:pPr>
            <w:r>
              <w:t>KP 3.2 – 28.2 is outside of the approved MSA areas</w:t>
            </w:r>
          </w:p>
          <w:p w14:paraId="67DC08AA" w14:textId="77777777" w:rsidR="00CB4637" w:rsidRDefault="00CB4637" w:rsidP="00CB4637">
            <w:pPr>
              <w:pStyle w:val="BodyBullet1"/>
            </w:pPr>
            <w:r>
              <w:t>KP 28.2 – 51 is within an approved MSA area (UGB 2010).</w:t>
            </w:r>
            <w:r w:rsidRPr="00613065">
              <w:t xml:space="preserve"> </w:t>
            </w:r>
          </w:p>
          <w:p w14:paraId="5B4ADA55" w14:textId="7DD754E5" w:rsidR="00CB4637" w:rsidRDefault="00CB4637" w:rsidP="00CB4637">
            <w:pPr>
              <w:pStyle w:val="BodyText"/>
            </w:pPr>
            <w:r w:rsidRPr="00A6198F">
              <w:rPr>
                <w:rStyle w:val="Removedirectformatting"/>
              </w:rPr>
              <w:t>A Works in Conservation Areas application (</w:t>
            </w:r>
            <w:proofErr w:type="spellStart"/>
            <w:r w:rsidRPr="00A6198F">
              <w:rPr>
                <w:rStyle w:val="Removedirectformatting"/>
              </w:rPr>
              <w:t>WiCA</w:t>
            </w:r>
            <w:proofErr w:type="spellEnd"/>
            <w:r w:rsidRPr="00A6198F">
              <w:rPr>
                <w:rStyle w:val="Removedirectformatting"/>
              </w:rPr>
              <w:t>) would be submitted to DELWP for works within Conservation Area</w:t>
            </w:r>
            <w:r>
              <w:rPr>
                <w:rStyle w:val="Removedirectformatting"/>
              </w:rPr>
              <w:t>s</w:t>
            </w:r>
            <w:r w:rsidRPr="00A6198F">
              <w:rPr>
                <w:rStyle w:val="Removedirectformatting"/>
              </w:rPr>
              <w:t xml:space="preserve"> identified in the BCS, under the </w:t>
            </w:r>
            <w:r w:rsidRPr="00A6198F">
              <w:rPr>
                <w:rStyle w:val="Italics"/>
              </w:rPr>
              <w:t>Melbourne Strategic Assessment (Environmental Mitigation Levy) Act 2020</w:t>
            </w:r>
            <w:r w:rsidRPr="00A6198F">
              <w:rPr>
                <w:rStyle w:val="Removedirectformatting"/>
              </w:rPr>
              <w:t xml:space="preserve"> (Vic).</w:t>
            </w:r>
            <w:r w:rsidRPr="00954783">
              <w:t xml:space="preserve"> </w:t>
            </w:r>
            <w:r>
              <w:t>S</w:t>
            </w:r>
            <w:r w:rsidRPr="00954783">
              <w:t xml:space="preserve">ome </w:t>
            </w:r>
            <w:proofErr w:type="spellStart"/>
            <w:r>
              <w:t>WiCA</w:t>
            </w:r>
            <w:proofErr w:type="spellEnd"/>
            <w:r>
              <w:t xml:space="preserve"> </w:t>
            </w:r>
            <w:r w:rsidRPr="00954783">
              <w:t>applications also requir</w:t>
            </w:r>
            <w:r>
              <w:t>e</w:t>
            </w:r>
            <w:r w:rsidRPr="00954783">
              <w:t xml:space="preserve"> Commonwealth approval prior to commencement of development. </w:t>
            </w:r>
          </w:p>
        </w:tc>
        <w:tc>
          <w:tcPr>
            <w:tcW w:w="3243"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bottom w:w="142" w:type="dxa"/>
              <w:right w:w="142" w:type="dxa"/>
            </w:tcMar>
          </w:tcPr>
          <w:p w14:paraId="419FA3D2" w14:textId="77777777" w:rsidR="00CB4637" w:rsidRPr="00613065" w:rsidRDefault="00CB4637" w:rsidP="00CB4637">
            <w:pPr>
              <w:pStyle w:val="CalloutHeader"/>
              <w:rPr>
                <w:rStyle w:val="TextBlue"/>
                <w:rFonts w:asciiTheme="minorHAnsi" w:hAnsiTheme="minorHAnsi"/>
                <w:sz w:val="20"/>
                <w:szCs w:val="22"/>
              </w:rPr>
            </w:pPr>
            <w:r w:rsidRPr="00613065">
              <w:t>What is the Melbourne Strategic</w:t>
            </w:r>
            <w:r w:rsidRPr="00613065">
              <w:rPr>
                <w:rStyle w:val="TextBlue"/>
              </w:rPr>
              <w:t xml:space="preserve"> </w:t>
            </w:r>
            <w:r w:rsidRPr="00613065">
              <w:t>Assessment</w:t>
            </w:r>
            <w:r w:rsidRPr="00613065">
              <w:rPr>
                <w:rStyle w:val="TextBlue"/>
              </w:rPr>
              <w:t>?</w:t>
            </w:r>
          </w:p>
          <w:p w14:paraId="245C883B" w14:textId="1CD63073" w:rsidR="00CB4637" w:rsidRDefault="00CB4637" w:rsidP="00CB4637">
            <w:pPr>
              <w:pStyle w:val="TableText"/>
            </w:pPr>
            <w:r w:rsidRPr="00613065">
              <w:t>The Melbourne Strategic Assessment program (MSA) applies</w:t>
            </w:r>
            <w:r>
              <w:t> </w:t>
            </w:r>
            <w:r w:rsidRPr="00613065">
              <w:t>to urban development that occurs within Melbourne’s urban growth areas. The program enables</w:t>
            </w:r>
            <w:r>
              <w:t> </w:t>
            </w:r>
            <w:r w:rsidRPr="00613065">
              <w:t xml:space="preserve">the Minister for </w:t>
            </w:r>
            <w:r>
              <w:t xml:space="preserve">the </w:t>
            </w:r>
            <w:r w:rsidRPr="00613065">
              <w:t xml:space="preserve">Environment to ‘globally’ approve developments under an endorsed policy, plan or program. </w:t>
            </w:r>
          </w:p>
          <w:p w14:paraId="61A6C485" w14:textId="13A790EE" w:rsidR="00CB4637" w:rsidRDefault="00CB4637" w:rsidP="00CB4637">
            <w:pPr>
              <w:pStyle w:val="TableText"/>
            </w:pPr>
            <w:r w:rsidRPr="00613065">
              <w:t>The practical effect of this is that project-by-project approvals are not required for actions taken in accordance with that endorsed policy, plan or program. This</w:t>
            </w:r>
            <w:r>
              <w:t> </w:t>
            </w:r>
            <w:r w:rsidRPr="00613065">
              <w:t>streamlines the assessment and approval processes required under the EPBC Act, whil</w:t>
            </w:r>
            <w:r>
              <w:t>e</w:t>
            </w:r>
            <w:r w:rsidRPr="00613065">
              <w:t xml:space="preserve"> managing the impact of development in Melbourne’s growth areas on significant ecological communities.</w:t>
            </w:r>
          </w:p>
        </w:tc>
      </w:tr>
    </w:tbl>
    <w:p w14:paraId="71F83637" w14:textId="51B7AD93" w:rsidR="00A6198F" w:rsidRDefault="00A6198F" w:rsidP="00A6198F">
      <w:pPr>
        <w:pStyle w:val="Caption"/>
      </w:pPr>
      <w:bookmarkStart w:id="23" w:name="_Ref70884882"/>
      <w:r>
        <w:lastRenderedPageBreak/>
        <w:t>Figure</w:t>
      </w:r>
      <w:r w:rsidR="00CB4637">
        <w:t> </w:t>
      </w:r>
      <w:fldSimple w:instr=" STYLEREF 1 \s ">
        <w:r w:rsidR="007D394B">
          <w:rPr>
            <w:noProof/>
          </w:rPr>
          <w:t>5</w:t>
        </w:r>
      </w:fldSimple>
      <w:r>
        <w:noBreakHyphen/>
      </w:r>
      <w:fldSimple w:instr=" SEQ Figure \* ARABIC \s 1 ">
        <w:r w:rsidR="007D394B">
          <w:rPr>
            <w:noProof/>
          </w:rPr>
          <w:t>2</w:t>
        </w:r>
      </w:fldSimple>
      <w:bookmarkEnd w:id="23"/>
      <w:r>
        <w:tab/>
        <w:t>Approved MSA areas in relation to WORM</w:t>
      </w:r>
    </w:p>
    <w:p w14:paraId="043AAA99" w14:textId="10D8F4A4" w:rsidR="005B532D" w:rsidRDefault="00943916" w:rsidP="005B532D">
      <w:pPr>
        <w:pStyle w:val="Object"/>
      </w:pPr>
      <w:r>
        <w:rPr>
          <w:noProof/>
        </w:rPr>
        <w:drawing>
          <wp:inline distT="0" distB="0" distL="0" distR="0" wp14:anchorId="5606A532" wp14:editId="619014FF">
            <wp:extent cx="5759450" cy="5584825"/>
            <wp:effectExtent l="0" t="0" r="0" b="0"/>
            <wp:docPr id="4" name="Picture 4" descr="This figure contains a map which shows the pipeline alignment and surrounding MSA Areas. The MSA Areas shown on the map surround Whittlesea, Mitchell, Melton and land to the west of H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contains a map which shows the pipeline alignment and surrounding MSA Areas. The MSA Areas shown on the map surround Whittlesea, Mitchell, Melton and land to the west of Hume."/>
                    <pic:cNvPicPr/>
                  </pic:nvPicPr>
                  <pic:blipFill>
                    <a:blip r:embed="rId20">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6E2DF9BD" w14:textId="77777777" w:rsidR="003C78E5" w:rsidRPr="003C78E5" w:rsidRDefault="003C78E5" w:rsidP="003C78E5">
      <w:pPr>
        <w:pStyle w:val="Source"/>
      </w:pPr>
    </w:p>
    <w:p w14:paraId="791A1937" w14:textId="77777777" w:rsidR="00547D6A" w:rsidRPr="00547D6A" w:rsidRDefault="00547D6A" w:rsidP="008C4861">
      <w:pPr>
        <w:pStyle w:val="Heading6"/>
      </w:pPr>
      <w:r>
        <w:t>EPBC referral for areas outside the MSA</w:t>
      </w:r>
    </w:p>
    <w:p w14:paraId="79463BE0" w14:textId="412E0D43" w:rsidR="00547D6A" w:rsidRDefault="00547D6A" w:rsidP="00547D6A">
      <w:pPr>
        <w:pStyle w:val="BodyText"/>
      </w:pPr>
      <w:r>
        <w:t xml:space="preserve">For the component of the Project located outside the MSA, a referral was submitted to the Commonwealth Department of Agriculture, Water and the Environment (DAWE) under section 75 of the EPBC Act. In February 2020, </w:t>
      </w:r>
      <w:r w:rsidR="001850AD">
        <w:t xml:space="preserve">the Minister for </w:t>
      </w:r>
      <w:r w:rsidR="00805E40">
        <w:t xml:space="preserve">the </w:t>
      </w:r>
      <w:r w:rsidR="001850AD">
        <w:t xml:space="preserve">Environment </w:t>
      </w:r>
      <w:r>
        <w:t xml:space="preserve">determined that the proposed action is a controlled action due to the listed threatened species and communities (sections 18 and 18A). </w:t>
      </w:r>
    </w:p>
    <w:p w14:paraId="16740BF8" w14:textId="1EBF98FC" w:rsidR="00547D6A" w:rsidRPr="00547D6A" w:rsidRDefault="00547D6A" w:rsidP="00547D6A">
      <w:pPr>
        <w:pStyle w:val="BodyText"/>
      </w:pPr>
      <w:r>
        <w:t>Therefore, the Project requires assessment and approval under the EPBC Act, under the bilateral agreement with Victoria</w:t>
      </w:r>
      <w:r w:rsidR="001850AD">
        <w:t xml:space="preserve"> made under section 45 of the EPBC Act</w:t>
      </w:r>
      <w:r>
        <w:t>.</w:t>
      </w:r>
      <w:r w:rsidRPr="00547D6A">
        <w:t xml:space="preserve"> </w:t>
      </w:r>
    </w:p>
    <w:p w14:paraId="7CFBEBDA" w14:textId="3F9FE16A" w:rsidR="00547D6A" w:rsidRDefault="001C401E" w:rsidP="001C401E">
      <w:pPr>
        <w:pStyle w:val="BodyText"/>
        <w:rPr>
          <w:rStyle w:val="Removedirectformatting"/>
        </w:rPr>
      </w:pPr>
      <w:r>
        <w:lastRenderedPageBreak/>
        <w:t>Matters of National Environmental Significance (MNES) are assessed in Chapter 1</w:t>
      </w:r>
      <w:r w:rsidR="00E537AB">
        <w:t>8</w:t>
      </w:r>
      <w:r>
        <w:t xml:space="preserve"> </w:t>
      </w:r>
      <w:r>
        <w:rPr>
          <w:rStyle w:val="Italics"/>
        </w:rPr>
        <w:t xml:space="preserve">Matters of National Environmental Significance </w:t>
      </w:r>
      <w:r>
        <w:rPr>
          <w:rStyle w:val="Removedirectformatting"/>
        </w:rPr>
        <w:t xml:space="preserve">and Technical Report </w:t>
      </w:r>
      <w:r w:rsidR="00F558AA">
        <w:rPr>
          <w:rStyle w:val="Removedirectformatting"/>
        </w:rPr>
        <w:t>A</w:t>
      </w:r>
      <w:r>
        <w:rPr>
          <w:rStyle w:val="Removedirectformatting"/>
        </w:rPr>
        <w:t xml:space="preserve"> </w:t>
      </w:r>
      <w:r>
        <w:rPr>
          <w:rStyle w:val="Italics"/>
        </w:rPr>
        <w:t>Biodiversity</w:t>
      </w:r>
      <w:r w:rsidR="00E537AB">
        <w:rPr>
          <w:rStyle w:val="Italics"/>
        </w:rPr>
        <w:t xml:space="preserve"> and habitats</w:t>
      </w:r>
      <w:r>
        <w:rPr>
          <w:rStyle w:val="Italics"/>
        </w:rPr>
        <w:t>.</w:t>
      </w:r>
      <w:r w:rsidR="00900490">
        <w:rPr>
          <w:rStyle w:val="Removedirectformatting"/>
        </w:rPr>
        <w:t xml:space="preserve"> Section 18.4 of Chapter 18 </w:t>
      </w:r>
      <w:r w:rsidR="00900490">
        <w:rPr>
          <w:rStyle w:val="Italics"/>
        </w:rPr>
        <w:t>Matters of National Environmental Significance</w:t>
      </w:r>
      <w:r w:rsidR="00900490" w:rsidRPr="003C78E5">
        <w:rPr>
          <w:rStyle w:val="Removedirectformatting"/>
        </w:rPr>
        <w:t xml:space="preserve">, </w:t>
      </w:r>
      <w:r w:rsidR="00900490">
        <w:rPr>
          <w:rStyle w:val="Removedirectformatting"/>
        </w:rPr>
        <w:t>describes the method of assessment which included the following key tasks:</w:t>
      </w:r>
    </w:p>
    <w:p w14:paraId="774A7A82" w14:textId="5438875C" w:rsidR="00900490" w:rsidRPr="002C66CD" w:rsidRDefault="00900490" w:rsidP="00900490">
      <w:pPr>
        <w:pStyle w:val="BodyBullet1"/>
      </w:pPr>
      <w:r>
        <w:t xml:space="preserve">Desktop assessment to determine the likelihood of MNES in relation to the Project. The Protected Matters Search Tool (PMST) was used to determine potential MNES within a five kilometre buffer of the Project. </w:t>
      </w:r>
      <w:r w:rsidRPr="002C66CD">
        <w:t>For aquatic species, separate PMST searches were completed using a five</w:t>
      </w:r>
      <w:r>
        <w:t xml:space="preserve"> </w:t>
      </w:r>
      <w:r w:rsidRPr="002C66CD">
        <w:t>kilometre buffer from each waterway crossing on Deep Creek, Jacksons Creek and Merri Creek</w:t>
      </w:r>
    </w:p>
    <w:p w14:paraId="7F4AD4FE" w14:textId="77777777" w:rsidR="00900490" w:rsidRDefault="00900490" w:rsidP="00900490">
      <w:pPr>
        <w:pStyle w:val="BodyBullet1"/>
      </w:pPr>
      <w:r w:rsidRPr="00833CB5">
        <w:t xml:space="preserve">A likelihood of occurrence assessment for each of the </w:t>
      </w:r>
      <w:r w:rsidRPr="006F2D64">
        <w:t xml:space="preserve">threatened </w:t>
      </w:r>
      <w:r>
        <w:t xml:space="preserve">flora, fauna </w:t>
      </w:r>
      <w:r w:rsidRPr="006F2D64">
        <w:t xml:space="preserve">or migratory species and each threatened community identified in the desktop assessment as having </w:t>
      </w:r>
      <w:r>
        <w:t xml:space="preserve">the </w:t>
      </w:r>
      <w:r w:rsidRPr="006F2D64">
        <w:t xml:space="preserve">potential to occur within </w:t>
      </w:r>
      <w:r>
        <w:t>five kilometre</w:t>
      </w:r>
      <w:r w:rsidRPr="006F2D64">
        <w:t xml:space="preserve">s of the </w:t>
      </w:r>
      <w:r>
        <w:t>Project</w:t>
      </w:r>
      <w:r w:rsidRPr="006F2D64">
        <w:t xml:space="preserve">, or is assumed </w:t>
      </w:r>
      <w:r>
        <w:t>or</w:t>
      </w:r>
      <w:r w:rsidRPr="006F2D64">
        <w:t xml:space="preserve"> known to occur from current records</w:t>
      </w:r>
    </w:p>
    <w:p w14:paraId="74DA1991" w14:textId="77777777" w:rsidR="00900490" w:rsidRPr="00BA0E73" w:rsidRDefault="00900490" w:rsidP="00900490">
      <w:pPr>
        <w:pStyle w:val="BodyBullet1"/>
      </w:pPr>
      <w:r w:rsidRPr="00BA0E73">
        <w:t>Rapid field assessment</w:t>
      </w:r>
      <w:r>
        <w:t xml:space="preserve"> to</w:t>
      </w:r>
      <w:r w:rsidRPr="00BA0E73">
        <w:t xml:space="preserve"> determine the presence/absence of native vegetation and habitat. These were conducted on foot, by vehicle or from adjacent road reserves</w:t>
      </w:r>
    </w:p>
    <w:p w14:paraId="6E13D545" w14:textId="1B0546A0" w:rsidR="00900490" w:rsidRPr="00DC703E" w:rsidRDefault="00900490" w:rsidP="00900490">
      <w:pPr>
        <w:pStyle w:val="BodyBullet1"/>
      </w:pPr>
      <w:r w:rsidRPr="00BA0E73">
        <w:t xml:space="preserve">Targeted surveys for individual species where the outcome of the </w:t>
      </w:r>
      <w:r w:rsidRPr="00DC703E">
        <w:t xml:space="preserve">desktop review and rapid field assessment indicated a medium or higher likelihood of occurrence </w:t>
      </w:r>
    </w:p>
    <w:p w14:paraId="739786AE" w14:textId="74D3F27D" w:rsidR="00900490" w:rsidRPr="003C78E5" w:rsidRDefault="00900490" w:rsidP="003C78E5">
      <w:pPr>
        <w:pStyle w:val="BodyBullet1"/>
        <w:rPr>
          <w:rStyle w:val="Removedirectformatting"/>
        </w:rPr>
      </w:pPr>
      <w:r>
        <w:t xml:space="preserve">Assessment of the potential impacts during construction and operation of the Project on </w:t>
      </w:r>
      <w:r w:rsidRPr="00C62A25">
        <w:t>listed threatened species and ecological communities</w:t>
      </w:r>
      <w:r>
        <w:t xml:space="preserve"> was undertaken considering the </w:t>
      </w:r>
      <w:r w:rsidRPr="00900490">
        <w:t>Matters of National Environmental Significance: Significant impact guidelines 1.1, Environment Protection and Biodiversity Conservation Act 1999</w:t>
      </w:r>
      <w:r w:rsidRPr="00900490">
        <w:rPr>
          <w:rStyle w:val="FootnoteReference"/>
        </w:rPr>
        <w:footnoteReference w:id="2"/>
      </w:r>
      <w:r w:rsidRPr="00900490">
        <w:t xml:space="preserve"> </w:t>
      </w:r>
      <w:r>
        <w:t xml:space="preserve">(Significant Impact Guidelines). Environmental management measures (EMMs) were identified in response to the impact assessment and residual impacts were considered. Refer to Chapter 19 </w:t>
      </w:r>
      <w:r w:rsidRPr="00C07F60">
        <w:rPr>
          <w:rStyle w:val="Italics"/>
        </w:rPr>
        <w:t>Environmental management framework</w:t>
      </w:r>
      <w:r>
        <w:t xml:space="preserve"> for the full list of environmental management measures.</w:t>
      </w:r>
    </w:p>
    <w:p w14:paraId="67940454" w14:textId="4F409977" w:rsidR="00547D6A" w:rsidRPr="00547D6A" w:rsidRDefault="00547D6A" w:rsidP="00636C13">
      <w:pPr>
        <w:pStyle w:val="Heading3"/>
      </w:pPr>
      <w:bookmarkStart w:id="24" w:name="_Toc71731587"/>
      <w:bookmarkStart w:id="25" w:name="_Toc72230969"/>
      <w:r w:rsidRPr="00BC2C90">
        <w:t xml:space="preserve">Pipelines Act </w:t>
      </w:r>
      <w:r w:rsidRPr="00636C13">
        <w:t>2005</w:t>
      </w:r>
      <w:r w:rsidRPr="00547D6A">
        <w:t xml:space="preserve"> (Vic)</w:t>
      </w:r>
      <w:bookmarkEnd w:id="24"/>
      <w:bookmarkEnd w:id="25"/>
    </w:p>
    <w:p w14:paraId="3476E75A" w14:textId="651FC4CF" w:rsidR="00547D6A" w:rsidRDefault="00547D6A" w:rsidP="00547D6A">
      <w:pPr>
        <w:pStyle w:val="BodyText"/>
      </w:pPr>
      <w:r>
        <w:t xml:space="preserve">The Pipelines Act is the primary legislation governing the construction and operation of pipelines in Victoria. The Pipelines Act covers transmission pipelines for the conveyance of gas, oil and other substances. DELWP </w:t>
      </w:r>
      <w:r w:rsidR="00FD7A0A">
        <w:t>is</w:t>
      </w:r>
      <w:r>
        <w:t xml:space="preserve"> responsible for administering the Pipelines Act along with the Pipeline Regulations 2017. </w:t>
      </w:r>
    </w:p>
    <w:p w14:paraId="5096438F" w14:textId="42AD1DAE" w:rsidR="00547D6A" w:rsidRPr="00547D6A" w:rsidRDefault="00547D6A" w:rsidP="00547D6A">
      <w:pPr>
        <w:pStyle w:val="Heading4"/>
      </w:pPr>
      <w:r>
        <w:t>Implications for the Project</w:t>
      </w:r>
    </w:p>
    <w:p w14:paraId="2FAA92F3" w14:textId="39139DD5" w:rsidR="00547D6A" w:rsidRPr="00636C13" w:rsidRDefault="00547D6A" w:rsidP="00636C13">
      <w:pPr>
        <w:pStyle w:val="BodyText"/>
      </w:pPr>
      <w:r w:rsidRPr="00453BFC">
        <w:t xml:space="preserve">A pipeline licence is required for natural gas pipelines in Victoria with operating pressure above 1,050kPa, </w:t>
      </w:r>
      <w:r w:rsidRPr="00636C13">
        <w:t xml:space="preserve">for the construction and ongoing operation of the pipeline. Therefore, the Project will require a Pipeline Licence under the </w:t>
      </w:r>
      <w:r w:rsidR="00E25F2C">
        <w:t xml:space="preserve">Pipelines </w:t>
      </w:r>
      <w:r w:rsidRPr="00636C13">
        <w:t>Act.</w:t>
      </w:r>
    </w:p>
    <w:p w14:paraId="3DD4517D" w14:textId="0AC1303B" w:rsidR="00547D6A" w:rsidRPr="00636C13" w:rsidRDefault="00547D6A" w:rsidP="00636C13">
      <w:pPr>
        <w:pStyle w:val="BodyText"/>
      </w:pPr>
      <w:r w:rsidRPr="00636C13">
        <w:t>The Pipelines Act requires licensed pipelines to be constructed and operated in accordance with Australian Standard 2885: Pipelines</w:t>
      </w:r>
      <w:r w:rsidR="000A62C0">
        <w:t xml:space="preserve"> - </w:t>
      </w:r>
      <w:r w:rsidRPr="00636C13">
        <w:t xml:space="preserve">Gas and </w:t>
      </w:r>
      <w:r w:rsidR="000A62C0">
        <w:t>L</w:t>
      </w:r>
      <w:r w:rsidRPr="00636C13">
        <w:t xml:space="preserve">iquid </w:t>
      </w:r>
      <w:r w:rsidR="000A62C0">
        <w:t>P</w:t>
      </w:r>
      <w:r w:rsidRPr="00636C13">
        <w:t>etroleum. The standard requires pipeline licensees to implement a range of safety measures to reduce foreseeable risks associated with operating a licensed pipeline. This includes understanding how land is being used when pipelines are constructed and where land is planned to be redeveloped once they are operating.</w:t>
      </w:r>
    </w:p>
    <w:p w14:paraId="154700C1" w14:textId="4AB3BF87" w:rsidR="00547D6A" w:rsidRDefault="00547D6A" w:rsidP="00636C13">
      <w:pPr>
        <w:pStyle w:val="BodyText"/>
      </w:pPr>
      <w:r w:rsidRPr="00636C13">
        <w:lastRenderedPageBreak/>
        <w:t xml:space="preserve">The Pipelines Act specifies that a licensee must prepare a Safety Management Plan and Environmental Management Plan, which are required to be submitted and </w:t>
      </w:r>
      <w:r w:rsidR="000F397E">
        <w:t>accepted</w:t>
      </w:r>
      <w:r w:rsidR="000F397E" w:rsidRPr="00636C13">
        <w:t xml:space="preserve"> </w:t>
      </w:r>
      <w:r w:rsidRPr="00636C13">
        <w:t xml:space="preserve">by </w:t>
      </w:r>
      <w:r w:rsidR="00FD7A0A">
        <w:t>Energy Safe Victoria (</w:t>
      </w:r>
      <w:r w:rsidRPr="00636C13">
        <w:t>ESV</w:t>
      </w:r>
      <w:r w:rsidR="00FD7A0A">
        <w:t>)</w:t>
      </w:r>
      <w:r w:rsidRPr="00636C13">
        <w:t xml:space="preserve"> and the Minister respectively. Pipeline operations cannot start without the </w:t>
      </w:r>
      <w:r w:rsidR="000F397E">
        <w:t>acceptance</w:t>
      </w:r>
      <w:r w:rsidR="000F397E" w:rsidRPr="00636C13">
        <w:t xml:space="preserve"> </w:t>
      </w:r>
      <w:r w:rsidRPr="00636C13">
        <w:t>of both requirements.</w:t>
      </w:r>
    </w:p>
    <w:p w14:paraId="331B325F" w14:textId="66EAC964" w:rsidR="002C0F0C" w:rsidRPr="00D36F04" w:rsidRDefault="002C0F0C" w:rsidP="002C0F0C">
      <w:pPr>
        <w:pStyle w:val="BodyText"/>
        <w:rPr>
          <w:rStyle w:val="Italics"/>
          <w:i w:val="0"/>
        </w:rPr>
      </w:pPr>
      <w:r w:rsidRPr="00D36F04">
        <w:rPr>
          <w:rStyle w:val="Italics"/>
          <w:i w:val="0"/>
        </w:rPr>
        <w:t>Section 3 of the Pipelines Act state</w:t>
      </w:r>
      <w:r w:rsidR="002B4CAE" w:rsidRPr="00D36F04">
        <w:rPr>
          <w:rStyle w:val="Italics"/>
          <w:i w:val="0"/>
        </w:rPr>
        <w:t>s</w:t>
      </w:r>
      <w:r w:rsidRPr="00D36F04">
        <w:rPr>
          <w:rStyle w:val="Italics"/>
          <w:i w:val="0"/>
        </w:rPr>
        <w:t xml:space="preserve"> the objectives of the Act, including:</w:t>
      </w:r>
    </w:p>
    <w:p w14:paraId="35683CFB" w14:textId="77777777" w:rsidR="002C0F0C" w:rsidRPr="00D36F04" w:rsidRDefault="002C0F0C" w:rsidP="003C78E5">
      <w:pPr>
        <w:pStyle w:val="BodyText"/>
        <w:ind w:left="340" w:hanging="340"/>
        <w:rPr>
          <w:rStyle w:val="Italics"/>
        </w:rPr>
      </w:pPr>
      <w:r w:rsidRPr="00D36F04">
        <w:rPr>
          <w:rStyle w:val="Italics"/>
        </w:rPr>
        <w:t>(a)</w:t>
      </w:r>
      <w:r w:rsidRPr="00D36F04">
        <w:rPr>
          <w:rStyle w:val="Italics"/>
        </w:rPr>
        <w:tab/>
        <w:t>to facilitate the development of pipelines for the benefit of Victoria;</w:t>
      </w:r>
    </w:p>
    <w:p w14:paraId="7AF8342F" w14:textId="77777777" w:rsidR="002C0F0C" w:rsidRPr="00D36F04" w:rsidRDefault="002C0F0C" w:rsidP="003C78E5">
      <w:pPr>
        <w:pStyle w:val="BodyText"/>
        <w:ind w:left="340" w:hanging="340"/>
        <w:rPr>
          <w:rStyle w:val="Italics"/>
        </w:rPr>
      </w:pPr>
      <w:r w:rsidRPr="00D36F04">
        <w:rPr>
          <w:rStyle w:val="Italics"/>
        </w:rPr>
        <w:t>(e)</w:t>
      </w:r>
      <w:r w:rsidRPr="00D36F04">
        <w:rPr>
          <w:rStyle w:val="Italics"/>
        </w:rPr>
        <w:tab/>
        <w:t>to protect the public from environmental, health and safety risks resulting from the construction and operation of pipelines;</w:t>
      </w:r>
    </w:p>
    <w:p w14:paraId="1EF6E876" w14:textId="77777777" w:rsidR="002C0F0C" w:rsidRPr="00D36F04" w:rsidRDefault="002C0F0C" w:rsidP="003C78E5">
      <w:pPr>
        <w:pStyle w:val="BodyText"/>
        <w:ind w:left="340" w:hanging="340"/>
        <w:rPr>
          <w:rStyle w:val="Italics"/>
        </w:rPr>
      </w:pPr>
      <w:r w:rsidRPr="00D36F04">
        <w:rPr>
          <w:rStyle w:val="Italics"/>
        </w:rPr>
        <w:t>(f)</w:t>
      </w:r>
      <w:r w:rsidRPr="00D36F04">
        <w:rPr>
          <w:rStyle w:val="Italics"/>
        </w:rPr>
        <w:tab/>
        <w:t>to ensure that pipelines are constructed and operated in a way that minimises adverse environmental impacts and has regard for the need for sustainable development.</w:t>
      </w:r>
    </w:p>
    <w:p w14:paraId="0140B43D" w14:textId="77777777" w:rsidR="002C0F0C" w:rsidRPr="002C0F0C" w:rsidRDefault="002C0F0C" w:rsidP="002C0F0C">
      <w:pPr>
        <w:pStyle w:val="BodyText"/>
      </w:pPr>
      <w:r w:rsidRPr="002C0F0C">
        <w:t>Section 4 of the Pipelines Act sets out the principles of sustainable development to be given regard in implementing the Act including that decision-making should be guided by a careful evaluation to avoid serious or irreversible damage to the environment wherever practicable and an assessment of the risk-weighted consequences of various options.</w:t>
      </w:r>
    </w:p>
    <w:p w14:paraId="6CC77D20" w14:textId="2A4F3292" w:rsidR="002C0F0C" w:rsidRPr="00636C13" w:rsidRDefault="002C0F0C" w:rsidP="002C0F0C">
      <w:pPr>
        <w:pStyle w:val="BodyText"/>
      </w:pPr>
      <w:r w:rsidRPr="002C0F0C">
        <w:t>Section 54(c) of the Pipelines Act states that conditions on a licence may include conditions concerning the protection of the environment.</w:t>
      </w:r>
    </w:p>
    <w:p w14:paraId="0F631E58" w14:textId="3063FD75" w:rsidR="00E8567F" w:rsidRPr="00E8567F" w:rsidRDefault="00E25F2C" w:rsidP="00E8567F">
      <w:pPr>
        <w:pStyle w:val="BodyText"/>
      </w:pPr>
      <w:r>
        <w:t>If a licence is issued under</w:t>
      </w:r>
      <w:r w:rsidRPr="00636C13">
        <w:t xml:space="preserve"> </w:t>
      </w:r>
      <w:r w:rsidR="00547D6A" w:rsidRPr="00636C13">
        <w:t xml:space="preserve">the Pipelines Act, </w:t>
      </w:r>
      <w:r>
        <w:t>section 85 provides that nothing in a planning scheme under the Planning Act requires a permit under that Act for the use or development of land or the carrying out of any matter or thing for the purpose of the pipeline.</w:t>
      </w:r>
      <w:r w:rsidR="00547D6A">
        <w:t xml:space="preserve"> </w:t>
      </w:r>
      <w:r w:rsidR="00E8567F" w:rsidRPr="00E8567F">
        <w:t>However, Section 49 of the Pipelines Act states that, in granting a Pipeline Licence, the Minister must consider the following</w:t>
      </w:r>
      <w:r w:rsidR="00040E0C">
        <w:t xml:space="preserve"> in the areas traversed by the pipeline</w:t>
      </w:r>
      <w:r w:rsidR="00577747">
        <w:t>:</w:t>
      </w:r>
    </w:p>
    <w:p w14:paraId="7085FCB2" w14:textId="59B8DA03" w:rsidR="00E8567F" w:rsidRPr="007B3BD0" w:rsidRDefault="00E8567F" w:rsidP="003C78E5">
      <w:pPr>
        <w:pStyle w:val="BodyText"/>
        <w:ind w:left="340" w:hanging="340"/>
        <w:rPr>
          <w:rStyle w:val="Italics"/>
        </w:rPr>
      </w:pPr>
      <w:r w:rsidRPr="007B3BD0">
        <w:rPr>
          <w:rStyle w:val="Italics"/>
        </w:rPr>
        <w:t>(a)</w:t>
      </w:r>
      <w:r w:rsidR="003C78E5">
        <w:rPr>
          <w:rStyle w:val="Italics"/>
        </w:rPr>
        <w:tab/>
      </w:r>
      <w:r w:rsidRPr="007B3BD0">
        <w:rPr>
          <w:rStyle w:val="Italics"/>
        </w:rPr>
        <w:t>the potential environmental, social, economic and safety impacts of the proposed pipeline</w:t>
      </w:r>
    </w:p>
    <w:p w14:paraId="1FCC82F5" w14:textId="50403D80" w:rsidR="00E8567F" w:rsidRPr="007B3BD0" w:rsidRDefault="00E8567F" w:rsidP="003C78E5">
      <w:pPr>
        <w:pStyle w:val="BodyText"/>
        <w:ind w:left="340" w:hanging="340"/>
        <w:rPr>
          <w:rStyle w:val="Italics"/>
        </w:rPr>
      </w:pPr>
      <w:r w:rsidRPr="007B3BD0">
        <w:rPr>
          <w:rStyle w:val="Italics"/>
        </w:rPr>
        <w:t>(b)</w:t>
      </w:r>
      <w:r w:rsidR="003C78E5">
        <w:rPr>
          <w:rStyle w:val="Italics"/>
        </w:rPr>
        <w:tab/>
      </w:r>
      <w:r w:rsidRPr="007B3BD0">
        <w:rPr>
          <w:rStyle w:val="Italics"/>
        </w:rPr>
        <w:t>the potential impact of the proposed pipeline on cultural heritage (including Indigenous cultural</w:t>
      </w:r>
      <w:r w:rsidR="003C78E5">
        <w:rPr>
          <w:rStyle w:val="Italics"/>
        </w:rPr>
        <w:t> </w:t>
      </w:r>
      <w:r w:rsidRPr="007B3BD0">
        <w:rPr>
          <w:rStyle w:val="Italics"/>
        </w:rPr>
        <w:t>heritage)</w:t>
      </w:r>
    </w:p>
    <w:p w14:paraId="03C8BFAF" w14:textId="62C91634" w:rsidR="00E8567F" w:rsidRPr="007B3BD0" w:rsidRDefault="00E8567F" w:rsidP="003C78E5">
      <w:pPr>
        <w:pStyle w:val="BodyText"/>
        <w:ind w:left="340" w:hanging="340"/>
        <w:rPr>
          <w:rStyle w:val="Italics"/>
        </w:rPr>
      </w:pPr>
      <w:r w:rsidRPr="007B3BD0">
        <w:rPr>
          <w:rStyle w:val="Italics"/>
        </w:rPr>
        <w:t>(c)</w:t>
      </w:r>
      <w:r w:rsidR="003C78E5">
        <w:rPr>
          <w:rStyle w:val="Italics"/>
        </w:rPr>
        <w:tab/>
      </w:r>
      <w:r w:rsidRPr="007B3BD0">
        <w:rPr>
          <w:rStyle w:val="Italics"/>
        </w:rPr>
        <w:t>the benefit of the proposed pipeline to Victoria relative to its potential impacts</w:t>
      </w:r>
    </w:p>
    <w:p w14:paraId="6C69A6C2" w14:textId="76258B73" w:rsidR="00E8567F" w:rsidRPr="007B3BD0" w:rsidRDefault="00E8567F" w:rsidP="003C78E5">
      <w:pPr>
        <w:pStyle w:val="BodyText"/>
        <w:ind w:left="340" w:hanging="340"/>
        <w:rPr>
          <w:rStyle w:val="Italics"/>
        </w:rPr>
      </w:pPr>
      <w:r w:rsidRPr="007B3BD0">
        <w:rPr>
          <w:rStyle w:val="Italics"/>
        </w:rPr>
        <w:t>(d)</w:t>
      </w:r>
      <w:r w:rsidR="003C78E5">
        <w:rPr>
          <w:rStyle w:val="Italics"/>
        </w:rPr>
        <w:tab/>
      </w:r>
      <w:r w:rsidRPr="007B3BD0">
        <w:rPr>
          <w:rStyle w:val="Italics"/>
        </w:rPr>
        <w:t>the submissions received under section 34 in relation to the application</w:t>
      </w:r>
    </w:p>
    <w:p w14:paraId="2C417723" w14:textId="2919B911" w:rsidR="00E8567F" w:rsidRPr="007B3BD0" w:rsidRDefault="00E8567F" w:rsidP="003C78E5">
      <w:pPr>
        <w:pStyle w:val="BodyText"/>
        <w:ind w:left="340" w:hanging="340"/>
        <w:rPr>
          <w:rStyle w:val="Italics"/>
        </w:rPr>
      </w:pPr>
      <w:r w:rsidRPr="007B3BD0">
        <w:rPr>
          <w:rStyle w:val="Italics"/>
        </w:rPr>
        <w:t>(e)</w:t>
      </w:r>
      <w:r w:rsidR="003C78E5">
        <w:rPr>
          <w:rStyle w:val="Italics"/>
        </w:rPr>
        <w:tab/>
      </w:r>
      <w:r w:rsidRPr="007B3BD0">
        <w:rPr>
          <w:rStyle w:val="Italics"/>
        </w:rPr>
        <w:t>the report of the panel (if any) on the submissions received in relation to the application</w:t>
      </w:r>
    </w:p>
    <w:p w14:paraId="337E7B70" w14:textId="331D6BB0" w:rsidR="007B3BD0" w:rsidRPr="007B3BD0" w:rsidRDefault="00E8567F" w:rsidP="003C78E5">
      <w:pPr>
        <w:pStyle w:val="BodyText"/>
        <w:ind w:left="340" w:hanging="340"/>
        <w:rPr>
          <w:rStyle w:val="Italics"/>
        </w:rPr>
      </w:pPr>
      <w:r w:rsidRPr="007B3BD0">
        <w:rPr>
          <w:rStyle w:val="Italics"/>
        </w:rPr>
        <w:t>(f)</w:t>
      </w:r>
      <w:r w:rsidR="003C78E5">
        <w:rPr>
          <w:rStyle w:val="Italics"/>
        </w:rPr>
        <w:tab/>
      </w:r>
      <w:r w:rsidRPr="007B3BD0">
        <w:rPr>
          <w:rStyle w:val="Italics"/>
        </w:rPr>
        <w:t>the assessment of the Environment Effects Minister in relation to the proposed pipeline, if an assessment has been made</w:t>
      </w:r>
    </w:p>
    <w:p w14:paraId="5FAD2383" w14:textId="3C96FF86" w:rsidR="007B3BD0" w:rsidRPr="007B3BD0" w:rsidRDefault="007B3BD0" w:rsidP="003C78E5">
      <w:pPr>
        <w:pStyle w:val="BodyText"/>
        <w:ind w:left="340" w:hanging="340"/>
        <w:rPr>
          <w:rStyle w:val="Italics"/>
        </w:rPr>
      </w:pPr>
      <w:r w:rsidRPr="007B3BD0">
        <w:rPr>
          <w:rStyle w:val="Italics"/>
        </w:rPr>
        <w:t>(g)</w:t>
      </w:r>
      <w:r w:rsidR="003C78E5">
        <w:rPr>
          <w:rStyle w:val="Italics"/>
        </w:rPr>
        <w:tab/>
      </w:r>
      <w:r w:rsidRPr="007B3BD0">
        <w:rPr>
          <w:rStyle w:val="Italics"/>
        </w:rPr>
        <w:t>any written comments received from the Planning Minister or the relevant responsible authority on the effect of the proposed pipeline on the planning of the area through which it is to pass</w:t>
      </w:r>
    </w:p>
    <w:p w14:paraId="5FF4A582" w14:textId="765C40F8" w:rsidR="00547D6A" w:rsidRDefault="007B3BD0" w:rsidP="003C78E5">
      <w:pPr>
        <w:pStyle w:val="BodyText"/>
        <w:ind w:left="340" w:hanging="340"/>
      </w:pPr>
      <w:r w:rsidRPr="007B3BD0">
        <w:rPr>
          <w:rStyle w:val="Italics"/>
        </w:rPr>
        <w:t>(h)</w:t>
      </w:r>
      <w:r w:rsidR="003C78E5">
        <w:rPr>
          <w:rStyle w:val="Italics"/>
        </w:rPr>
        <w:tab/>
      </w:r>
      <w:r w:rsidRPr="007B3BD0">
        <w:rPr>
          <w:rStyle w:val="Italics"/>
        </w:rPr>
        <w:t>any written comments received from the Water Minister and from the relevant Crown Land Minister on the impact of the proposed pipeline</w:t>
      </w:r>
      <w:r w:rsidRPr="007B3BD0">
        <w:t>.</w:t>
      </w:r>
    </w:p>
    <w:p w14:paraId="7B72C627" w14:textId="66F7AE16" w:rsidR="00325F33" w:rsidRDefault="00325F33" w:rsidP="007B3BD0">
      <w:pPr>
        <w:pStyle w:val="BodyText"/>
        <w:rPr>
          <w:rStyle w:val="Italics"/>
        </w:rPr>
      </w:pPr>
      <w:r>
        <w:t xml:space="preserve">An assessment against the legislation, policies and clauses within the planning schemes would allow for consideration by the Minister for Planning and the relevant responsible authorities of the applicable land use planning matters through the Pipeline Licence assessment process. For further detail refer to Chapter 15 </w:t>
      </w:r>
      <w:r w:rsidRPr="00672453">
        <w:rPr>
          <w:rStyle w:val="Italics"/>
        </w:rPr>
        <w:t xml:space="preserve">Land use </w:t>
      </w:r>
      <w:r>
        <w:t xml:space="preserve">and Technical report </w:t>
      </w:r>
      <w:r w:rsidR="00C57F88">
        <w:t>K</w:t>
      </w:r>
      <w:r>
        <w:t xml:space="preserve"> </w:t>
      </w:r>
      <w:r w:rsidRPr="00672453">
        <w:rPr>
          <w:rStyle w:val="Italics"/>
        </w:rPr>
        <w:t>Land use</w:t>
      </w:r>
      <w:r>
        <w:rPr>
          <w:rStyle w:val="Italics"/>
        </w:rPr>
        <w:t>.</w:t>
      </w:r>
    </w:p>
    <w:p w14:paraId="53DF6A45" w14:textId="5A4E5ABE" w:rsidR="00F42FD0" w:rsidRPr="00F42FD0" w:rsidRDefault="00F42FD0" w:rsidP="007B3BD0">
      <w:pPr>
        <w:pStyle w:val="BodyText"/>
        <w:rPr>
          <w:rStyle w:val="Removedirectformatting"/>
        </w:rPr>
      </w:pPr>
      <w:r>
        <w:rPr>
          <w:rStyle w:val="Removedirectformatting"/>
        </w:rPr>
        <w:lastRenderedPageBreak/>
        <w:t xml:space="preserve">Although exempt from requiring a permit under the </w:t>
      </w:r>
      <w:r w:rsidRPr="00D36F04">
        <w:rPr>
          <w:rStyle w:val="Italics"/>
        </w:rPr>
        <w:t>Planning and Environment Act 1987</w:t>
      </w:r>
      <w:r>
        <w:rPr>
          <w:rStyle w:val="Removedirectformatting"/>
        </w:rPr>
        <w:t xml:space="preserve">, </w:t>
      </w:r>
      <w:r w:rsidRPr="00F42FD0">
        <w:t xml:space="preserve">native vegetation removal assessments and offsets will need to be in accordance with the </w:t>
      </w:r>
      <w:r w:rsidRPr="00D36F04">
        <w:rPr>
          <w:rStyle w:val="Italics"/>
        </w:rPr>
        <w:t>Guidelines for the removal, destruction or lopping of native vegetation</w:t>
      </w:r>
      <w:r w:rsidRPr="00F42FD0">
        <w:t xml:space="preserve"> (2017)</w:t>
      </w:r>
      <w:r w:rsidR="005E1A32">
        <w:t>, as required by Section 3.5 and 4.2 of the scoping requirements</w:t>
      </w:r>
      <w:r w:rsidRPr="00F42FD0">
        <w:t>.</w:t>
      </w:r>
    </w:p>
    <w:p w14:paraId="4B1AA02E" w14:textId="77777777" w:rsidR="00547D6A" w:rsidRPr="00547D6A" w:rsidRDefault="00547D6A" w:rsidP="00547D6A">
      <w:pPr>
        <w:pStyle w:val="Heading3"/>
      </w:pPr>
      <w:bookmarkStart w:id="26" w:name="_Toc71731588"/>
      <w:bookmarkStart w:id="27" w:name="_Toc72230970"/>
      <w:r w:rsidRPr="004B26EA">
        <w:rPr>
          <w:rStyle w:val="Italics"/>
        </w:rPr>
        <w:t xml:space="preserve">Aboriginal Heritage Act 2006 </w:t>
      </w:r>
      <w:r w:rsidRPr="00547D6A">
        <w:t>(Vic)</w:t>
      </w:r>
      <w:bookmarkEnd w:id="26"/>
      <w:bookmarkEnd w:id="27"/>
    </w:p>
    <w:p w14:paraId="577FDCD3" w14:textId="5B877391" w:rsidR="00547D6A" w:rsidRDefault="00547D6A" w:rsidP="0047044E">
      <w:pPr>
        <w:pStyle w:val="BodyText"/>
      </w:pPr>
      <w:r>
        <w:t xml:space="preserve">The </w:t>
      </w:r>
      <w:r w:rsidR="0047044E" w:rsidRPr="004B26EA">
        <w:rPr>
          <w:rStyle w:val="Italics"/>
          <w:i w:val="0"/>
        </w:rPr>
        <w:t>AH</w:t>
      </w:r>
      <w:r w:rsidRPr="0047044E">
        <w:t xml:space="preserve"> A</w:t>
      </w:r>
      <w:r>
        <w:t xml:space="preserve">ct provides for the protection of Aboriginal cultural heritage in Victoria. </w:t>
      </w:r>
    </w:p>
    <w:p w14:paraId="5F477BDE" w14:textId="4CB8976F" w:rsidR="00547D6A" w:rsidRDefault="00547D6A" w:rsidP="00547D6A">
      <w:pPr>
        <w:pStyle w:val="BodyText"/>
      </w:pPr>
      <w:r>
        <w:t xml:space="preserve">Section 49 of the </w:t>
      </w:r>
      <w:r w:rsidR="0047044E">
        <w:t>AH</w:t>
      </w:r>
      <w:r>
        <w:t xml:space="preserve"> Act states that a Cultural Heritage Management Plan (CHMP) must be prepared when an EES is required under the </w:t>
      </w:r>
      <w:r w:rsidR="00CA728E">
        <w:t xml:space="preserve">EE Act </w:t>
      </w:r>
      <w:r>
        <w:t xml:space="preserve">in respect of any works. The CHMP must be prepared </w:t>
      </w:r>
      <w:r w:rsidR="00D322D9">
        <w:t xml:space="preserve">and approved </w:t>
      </w:r>
      <w:r>
        <w:t xml:space="preserve">before works start. </w:t>
      </w:r>
    </w:p>
    <w:p w14:paraId="5467DF18" w14:textId="77777777" w:rsidR="00547D6A" w:rsidRPr="00547D6A" w:rsidRDefault="00547D6A" w:rsidP="00547D6A">
      <w:pPr>
        <w:pStyle w:val="Heading4"/>
      </w:pPr>
      <w:r>
        <w:t>Implications for the Project</w:t>
      </w:r>
    </w:p>
    <w:p w14:paraId="2FE687B1" w14:textId="2C0A4C55" w:rsidR="00547D6A" w:rsidRPr="00987422" w:rsidRDefault="00547D6A" w:rsidP="00987422">
      <w:pPr>
        <w:pStyle w:val="BodyText"/>
      </w:pPr>
      <w:r w:rsidRPr="00987422">
        <w:t>APA is preparing two CHMPs for the Project in consultation with the Registered Aboriginal Party (RAP)</w:t>
      </w:r>
      <w:r w:rsidR="00E10216">
        <w:t>,Traditional Owners and</w:t>
      </w:r>
      <w:r w:rsidRPr="00987422">
        <w:t xml:space="preserve"> Aboriginal Victoria. These are:</w:t>
      </w:r>
    </w:p>
    <w:p w14:paraId="39F06153" w14:textId="47D4A045" w:rsidR="00547D6A" w:rsidRPr="00547D6A" w:rsidRDefault="00547D6A" w:rsidP="00636C13">
      <w:pPr>
        <w:pStyle w:val="BodyBullet1"/>
      </w:pPr>
      <w:r>
        <w:t xml:space="preserve">CHMP 1 – (KP 0 – 8) is with Aboriginal Victoria </w:t>
      </w:r>
      <w:r w:rsidR="00DE27C0">
        <w:t>(</w:t>
      </w:r>
      <w:r>
        <w:t>CHMP No 16594</w:t>
      </w:r>
      <w:r w:rsidR="00DE27C0">
        <w:t>)</w:t>
      </w:r>
    </w:p>
    <w:p w14:paraId="55D286B1" w14:textId="209D8D74" w:rsidR="00547D6A" w:rsidRPr="00547D6A" w:rsidRDefault="00547D6A" w:rsidP="00636C13">
      <w:pPr>
        <w:pStyle w:val="BodyBullet1"/>
      </w:pPr>
      <w:r>
        <w:t>CHMP 2 – (KP 8 – 5</w:t>
      </w:r>
      <w:r w:rsidR="00E10216">
        <w:t>1</w:t>
      </w:r>
      <w:r>
        <w:t xml:space="preserve">) is with Wurundjeri </w:t>
      </w:r>
      <w:proofErr w:type="spellStart"/>
      <w:r>
        <w:t>Woi</w:t>
      </w:r>
      <w:proofErr w:type="spellEnd"/>
      <w:r>
        <w:t>-wurrung Cultural Heritag</w:t>
      </w:r>
      <w:r w:rsidRPr="00547D6A">
        <w:t xml:space="preserve">e Aboriginal Corporation (WWCHAC) as the RAP </w:t>
      </w:r>
      <w:r w:rsidR="00DE27C0">
        <w:t>(</w:t>
      </w:r>
      <w:r w:rsidRPr="00547D6A">
        <w:t>CHMP No. 16593</w:t>
      </w:r>
      <w:r w:rsidR="00DE27C0">
        <w:t>)</w:t>
      </w:r>
      <w:r w:rsidRPr="00547D6A">
        <w:t xml:space="preserve">. </w:t>
      </w:r>
    </w:p>
    <w:p w14:paraId="08861077" w14:textId="1A205C13" w:rsidR="00547D6A" w:rsidRDefault="00547D6A" w:rsidP="00CA728E">
      <w:pPr>
        <w:pStyle w:val="BodyText"/>
      </w:pPr>
      <w:r>
        <w:t>When finalised, the CHMPs will be submitted to WWCHAC and A</w:t>
      </w:r>
      <w:r w:rsidR="00CA728E">
        <w:t xml:space="preserve">boriginal </w:t>
      </w:r>
      <w:r>
        <w:t>V</w:t>
      </w:r>
      <w:r w:rsidR="00CA728E">
        <w:t>ictoria</w:t>
      </w:r>
      <w:r>
        <w:t xml:space="preserve"> for approval, following the Minister’s assessment of the EES.</w:t>
      </w:r>
      <w:r w:rsidR="00E10216" w:rsidRPr="00E10216">
        <w:t xml:space="preserve"> </w:t>
      </w:r>
      <w:r w:rsidR="00E10216">
        <w:t xml:space="preserve">The CHMPs and ongoing consultation consider both tangible and intangible cultural heritage. </w:t>
      </w:r>
      <w:r w:rsidR="00A1089A">
        <w:t xml:space="preserve">Specific management conditions and contingency requirements in CHMPs would be incorporated into the Construction Environment Management Plan and relevant contractor documents following approval of the CHMPs. </w:t>
      </w:r>
      <w:r w:rsidR="00E10216">
        <w:t>The CHMPs will be the principal</w:t>
      </w:r>
      <w:r w:rsidR="00E613EA">
        <w:t> </w:t>
      </w:r>
      <w:r w:rsidR="00E10216">
        <w:t xml:space="preserve">mechanisms for achieving the cultural heritage evaluation objective in Section 4.4 of the scoping requirements. </w:t>
      </w:r>
    </w:p>
    <w:p w14:paraId="1A3268BE" w14:textId="77777777" w:rsidR="00547D6A" w:rsidRPr="00547D6A" w:rsidRDefault="00547D6A" w:rsidP="00547D6A">
      <w:pPr>
        <w:pStyle w:val="Heading2"/>
      </w:pPr>
      <w:bookmarkStart w:id="28" w:name="_Toc71731589"/>
      <w:bookmarkStart w:id="29" w:name="_Toc72230971"/>
      <w:r>
        <w:t>Secondary approvals legislation</w:t>
      </w:r>
      <w:bookmarkEnd w:id="28"/>
      <w:bookmarkEnd w:id="29"/>
    </w:p>
    <w:p w14:paraId="1AE90DC1" w14:textId="585450A4" w:rsidR="00547D6A" w:rsidRPr="009F0675" w:rsidRDefault="00547D6A" w:rsidP="00547D6A">
      <w:pPr>
        <w:pStyle w:val="BodyText"/>
      </w:pPr>
      <w:r>
        <w:t xml:space="preserve">Other approvals would be obtained following key approvals being confirmed. </w:t>
      </w:r>
      <w:r w:rsidR="00DE27C0">
        <w:t>O</w:t>
      </w:r>
      <w:r>
        <w:t xml:space="preserve">ther </w:t>
      </w:r>
      <w:r w:rsidR="00DE27C0">
        <w:t xml:space="preserve">required </w:t>
      </w:r>
      <w:r>
        <w:t xml:space="preserve">approvals would relate to the final design and construction methodology and </w:t>
      </w:r>
      <w:r w:rsidR="00DE27C0">
        <w:t>are</w:t>
      </w:r>
      <w:r>
        <w:t xml:space="preserve"> expected to include, as a minimum, approvals under the FFG Act, Water Act</w:t>
      </w:r>
      <w:r w:rsidR="002B4CAE">
        <w:t>,</w:t>
      </w:r>
      <w:r>
        <w:t xml:space="preserve"> Gas Safety Act</w:t>
      </w:r>
      <w:r w:rsidR="002B4CAE">
        <w:t xml:space="preserve"> and Heritage Act</w:t>
      </w:r>
      <w:r>
        <w:t xml:space="preserve">. </w:t>
      </w:r>
    </w:p>
    <w:p w14:paraId="79C15896" w14:textId="7C60697C" w:rsidR="00547D6A" w:rsidRPr="00547D6A" w:rsidRDefault="00547D6A" w:rsidP="00547D6A">
      <w:pPr>
        <w:pStyle w:val="Heading3"/>
      </w:pPr>
      <w:bookmarkStart w:id="30" w:name="_Toc71731590"/>
      <w:bookmarkStart w:id="31" w:name="_Toc72230972"/>
      <w:r w:rsidRPr="004B26EA">
        <w:rPr>
          <w:rStyle w:val="Italics"/>
        </w:rPr>
        <w:t>Flora and Fauna Guarantee Act 1988</w:t>
      </w:r>
      <w:r w:rsidRPr="00547D6A">
        <w:t xml:space="preserve"> (Vic)</w:t>
      </w:r>
      <w:bookmarkEnd w:id="30"/>
      <w:bookmarkEnd w:id="31"/>
    </w:p>
    <w:p w14:paraId="09706A88" w14:textId="49709F29" w:rsidR="00547D6A" w:rsidRDefault="00547D6A" w:rsidP="00547D6A">
      <w:pPr>
        <w:pStyle w:val="BodyText"/>
      </w:pPr>
      <w:r>
        <w:t>The FFG Act</w:t>
      </w:r>
      <w:r w:rsidR="003B1703" w:rsidDel="000F397E">
        <w:t xml:space="preserve"> </w:t>
      </w:r>
      <w:r w:rsidR="003B1703">
        <w:t>p</w:t>
      </w:r>
      <w:r>
        <w:t>rovides a framework for biodiversity conservation and sustainable use of native ecology in Victoria. The FFG Act provides for the listing of threatened species, communities of flora and fauna and potentially threatening processes. A number of non-threatened species are also protected under the FFG Act</w:t>
      </w:r>
      <w:r w:rsidR="00E42BA3">
        <w:t>.</w:t>
      </w:r>
    </w:p>
    <w:p w14:paraId="38B39695" w14:textId="261DD412" w:rsidR="00547D6A" w:rsidRDefault="00547D6A" w:rsidP="00547D6A">
      <w:pPr>
        <w:pStyle w:val="BodyText"/>
      </w:pPr>
      <w:r>
        <w:t xml:space="preserve">A permit is required </w:t>
      </w:r>
      <w:r w:rsidR="00CA728E">
        <w:t xml:space="preserve">under section 47 of the FFG Act </w:t>
      </w:r>
      <w:r>
        <w:t>to take species protected under the FFG Act from</w:t>
      </w:r>
      <w:r w:rsidR="00E613EA">
        <w:t> </w:t>
      </w:r>
      <w:r>
        <w:t>public land, and may also be required to remove protected species from private land in certain</w:t>
      </w:r>
      <w:r w:rsidR="00E613EA">
        <w:t> </w:t>
      </w:r>
      <w:r>
        <w:t xml:space="preserve">circumstances. </w:t>
      </w:r>
    </w:p>
    <w:p w14:paraId="2C03CB93" w14:textId="35A68DC1" w:rsidR="00F42FD0" w:rsidRPr="00E1488D" w:rsidRDefault="00547D6A" w:rsidP="00547D6A">
      <w:pPr>
        <w:pStyle w:val="BodyText"/>
      </w:pPr>
      <w:r>
        <w:lastRenderedPageBreak/>
        <w:t xml:space="preserve">A permit </w:t>
      </w:r>
      <w:r w:rsidR="007B1F18">
        <w:t>is required</w:t>
      </w:r>
      <w:r w:rsidR="00CA728E">
        <w:t xml:space="preserve"> under section 55 of the FFG Act</w:t>
      </w:r>
      <w:r>
        <w:t xml:space="preserve"> for the removal of protected or threatened species within the Project area, which may occur as a result of vegetation clearing. An assessment of the potential impacts on protected species is contained in </w:t>
      </w:r>
      <w:r w:rsidRPr="006556E9">
        <w:t xml:space="preserve">Technical report </w:t>
      </w:r>
      <w:r>
        <w:t xml:space="preserve">A </w:t>
      </w:r>
      <w:r w:rsidRPr="004B26EA">
        <w:rPr>
          <w:rStyle w:val="Italics"/>
        </w:rPr>
        <w:t>Biodiversity</w:t>
      </w:r>
      <w:r>
        <w:rPr>
          <w:rStyle w:val="Italics"/>
        </w:rPr>
        <w:t xml:space="preserve"> and </w:t>
      </w:r>
      <w:r w:rsidR="00C57F88">
        <w:rPr>
          <w:rStyle w:val="Italics"/>
        </w:rPr>
        <w:t>habitats</w:t>
      </w:r>
      <w:r w:rsidRPr="008226C7">
        <w:t xml:space="preserve"> and Chapter </w:t>
      </w:r>
      <w:r>
        <w:t>7</w:t>
      </w:r>
      <w:r w:rsidRPr="008226C7">
        <w:t xml:space="preserve"> </w:t>
      </w:r>
      <w:r w:rsidRPr="004B26EA">
        <w:rPr>
          <w:rStyle w:val="Italics"/>
        </w:rPr>
        <w:t>Biodiversity</w:t>
      </w:r>
      <w:r w:rsidR="00C57F88">
        <w:rPr>
          <w:rStyle w:val="Italics"/>
        </w:rPr>
        <w:t xml:space="preserve"> and habitats</w:t>
      </w:r>
      <w:r w:rsidRPr="008226C7">
        <w:t>.</w:t>
      </w:r>
      <w:r>
        <w:t xml:space="preserve"> </w:t>
      </w:r>
    </w:p>
    <w:p w14:paraId="34BF36C2" w14:textId="77777777" w:rsidR="00547D6A" w:rsidRPr="00547D6A" w:rsidRDefault="00547D6A" w:rsidP="00547D6A">
      <w:pPr>
        <w:pStyle w:val="Heading3"/>
      </w:pPr>
      <w:bookmarkStart w:id="32" w:name="_Toc71731591"/>
      <w:bookmarkStart w:id="33" w:name="_Toc72230973"/>
      <w:r w:rsidRPr="004B26EA">
        <w:rPr>
          <w:rStyle w:val="Italics"/>
        </w:rPr>
        <w:t>Water Act 1989</w:t>
      </w:r>
      <w:r w:rsidRPr="00E521AC">
        <w:t xml:space="preserve"> (Vic)</w:t>
      </w:r>
      <w:bookmarkEnd w:id="32"/>
      <w:bookmarkEnd w:id="33"/>
    </w:p>
    <w:p w14:paraId="26A47D34" w14:textId="71F0310C" w:rsidR="00547D6A" w:rsidRDefault="00547D6A" w:rsidP="00547D6A">
      <w:pPr>
        <w:pStyle w:val="BodyText"/>
      </w:pPr>
      <w:r>
        <w:t xml:space="preserve">Victoria’s </w:t>
      </w:r>
      <w:r w:rsidR="00D322D9">
        <w:t xml:space="preserve">Water Act </w:t>
      </w:r>
      <w:r>
        <w:t>promotes the orderly, equitable and efficient use of water resources to ensure water resources are conserved and properly managed for sustainable use. The Water Act regulates the impacts on and use of surface water and groundwater.</w:t>
      </w:r>
    </w:p>
    <w:p w14:paraId="0C6F909C" w14:textId="47CBAD4C" w:rsidR="00547D6A" w:rsidRPr="00547D6A" w:rsidRDefault="00547D6A" w:rsidP="003104A8">
      <w:pPr>
        <w:pStyle w:val="BodyText"/>
      </w:pPr>
      <w:bookmarkStart w:id="34" w:name="_Hlk70492986"/>
      <w:r>
        <w:t>The Project would require</w:t>
      </w:r>
      <w:r w:rsidR="00D34A31">
        <w:t xml:space="preserve"> </w:t>
      </w:r>
      <w:r w:rsidR="00D22763">
        <w:t xml:space="preserve">a </w:t>
      </w:r>
      <w:r>
        <w:t xml:space="preserve">licence </w:t>
      </w:r>
      <w:r w:rsidR="00D22763">
        <w:t xml:space="preserve">under section 67 of the Water Act </w:t>
      </w:r>
      <w:r>
        <w:t xml:space="preserve">to construct, alter, operate or decommission works on, over or under </w:t>
      </w:r>
      <w:r w:rsidR="00F06DD8">
        <w:t>relevant</w:t>
      </w:r>
      <w:r w:rsidR="007800AA">
        <w:t xml:space="preserve"> waterways in the Project area</w:t>
      </w:r>
      <w:r>
        <w:t>.</w:t>
      </w:r>
    </w:p>
    <w:p w14:paraId="2F0B63B3" w14:textId="14409C21" w:rsidR="00547D6A" w:rsidRPr="00547D6A" w:rsidRDefault="00547D6A" w:rsidP="00547D6A">
      <w:pPr>
        <w:pStyle w:val="Heading3"/>
      </w:pPr>
      <w:bookmarkStart w:id="35" w:name="_Toc71731592"/>
      <w:bookmarkStart w:id="36" w:name="_Toc72230974"/>
      <w:bookmarkEnd w:id="34"/>
      <w:r w:rsidRPr="004B26EA">
        <w:rPr>
          <w:rStyle w:val="Italics"/>
        </w:rPr>
        <w:t xml:space="preserve">Gas Safety Act 1997 </w:t>
      </w:r>
      <w:r w:rsidRPr="00E521AC">
        <w:t>(Vic)</w:t>
      </w:r>
      <w:bookmarkEnd w:id="35"/>
      <w:bookmarkEnd w:id="36"/>
      <w:r w:rsidRPr="00547D6A">
        <w:t xml:space="preserve"> </w:t>
      </w:r>
    </w:p>
    <w:p w14:paraId="62FC9840" w14:textId="06F04F04" w:rsidR="00547D6A" w:rsidRDefault="00547D6A" w:rsidP="00547D6A">
      <w:pPr>
        <w:pStyle w:val="BodyText"/>
      </w:pPr>
      <w:r>
        <w:t>The Gas Safety Act aims to regulate the safety of gas supply and use in Victoria and to provide for the safe conveyance, sale, supply, measurement, control and use of gas. E</w:t>
      </w:r>
      <w:r w:rsidR="00D22763">
        <w:t xml:space="preserve">nergy </w:t>
      </w:r>
      <w:r>
        <w:t>S</w:t>
      </w:r>
      <w:r w:rsidR="00D22763">
        <w:t xml:space="preserve">afe </w:t>
      </w:r>
      <w:r>
        <w:t>V</w:t>
      </w:r>
      <w:r w:rsidR="00D22763">
        <w:t>ictoria (ESV)</w:t>
      </w:r>
      <w:r>
        <w:t xml:space="preserve"> administers the </w:t>
      </w:r>
      <w:r w:rsidR="00D22763">
        <w:t xml:space="preserve">Gas Safety </w:t>
      </w:r>
      <w:r>
        <w:t>Act and the two sets of regulations under the Act:</w:t>
      </w:r>
    </w:p>
    <w:p w14:paraId="0F69C15E" w14:textId="357F2872" w:rsidR="00547D6A" w:rsidRPr="00547D6A" w:rsidRDefault="00547D6A" w:rsidP="00636C13">
      <w:pPr>
        <w:pStyle w:val="BodyBullet1"/>
      </w:pPr>
      <w:r>
        <w:t>Gas Safety (</w:t>
      </w:r>
      <w:r w:rsidR="00D22763">
        <w:t xml:space="preserve">Gas </w:t>
      </w:r>
      <w:r>
        <w:t>Installation) Regulations 2018</w:t>
      </w:r>
    </w:p>
    <w:p w14:paraId="672BFF20" w14:textId="77777777" w:rsidR="00547D6A" w:rsidRPr="00547D6A" w:rsidRDefault="00547D6A" w:rsidP="00636C13">
      <w:pPr>
        <w:pStyle w:val="BodyBullet1"/>
      </w:pPr>
      <w:r>
        <w:t xml:space="preserve">Gas Safety (Safety </w:t>
      </w:r>
      <w:r w:rsidRPr="00547D6A">
        <w:t>Case) Regulations 2018.</w:t>
      </w:r>
    </w:p>
    <w:p w14:paraId="1DE74F82" w14:textId="6BC41D90" w:rsidR="00547D6A" w:rsidRDefault="0006160C" w:rsidP="00547D6A">
      <w:pPr>
        <w:pStyle w:val="BodyText"/>
      </w:pPr>
      <w:r w:rsidRPr="0006160C">
        <w:t xml:space="preserve">Amendment to the existing VTS Safety Case </w:t>
      </w:r>
      <w:r w:rsidR="00AA05B8">
        <w:t>would</w:t>
      </w:r>
      <w:r w:rsidRPr="0006160C">
        <w:t xml:space="preserve"> include the new WORM pipeline under the </w:t>
      </w:r>
      <w:r w:rsidRPr="003104A8">
        <w:rPr>
          <w:rStyle w:val="Italics"/>
          <w:i w:val="0"/>
        </w:rPr>
        <w:t xml:space="preserve">Gas Safety Act 1997 </w:t>
      </w:r>
      <w:r w:rsidRPr="0006160C">
        <w:t>(Vic)</w:t>
      </w:r>
      <w:r w:rsidR="00547D6A">
        <w:t xml:space="preserve">. The </w:t>
      </w:r>
      <w:r w:rsidR="0047044E">
        <w:t xml:space="preserve">amended </w:t>
      </w:r>
      <w:r w:rsidR="00547D6A">
        <w:t>Gas Safety Case would be prepared in accordance with the Gas Safety (Safety Case) Regulations 2018 and would require approval from the ESV.</w:t>
      </w:r>
      <w:r w:rsidR="00D22763">
        <w:t xml:space="preserve"> This approval decision is not part of the EES.</w:t>
      </w:r>
    </w:p>
    <w:p w14:paraId="6BDD165C" w14:textId="77777777" w:rsidR="00F03EC2" w:rsidRPr="00F03EC2" w:rsidRDefault="00F03EC2" w:rsidP="00F03EC2">
      <w:pPr>
        <w:pStyle w:val="Heading3"/>
      </w:pPr>
      <w:bookmarkStart w:id="37" w:name="_Toc71731593"/>
      <w:bookmarkStart w:id="38" w:name="_Toc72230975"/>
      <w:r w:rsidRPr="00A6198F">
        <w:rPr>
          <w:rStyle w:val="Italics"/>
        </w:rPr>
        <w:t>Heritage Act 2017</w:t>
      </w:r>
      <w:r w:rsidRPr="00F03EC2">
        <w:t xml:space="preserve"> (Vic)</w:t>
      </w:r>
      <w:bookmarkEnd w:id="37"/>
      <w:bookmarkEnd w:id="38"/>
    </w:p>
    <w:p w14:paraId="1BAFBE43" w14:textId="77777777" w:rsidR="00F03EC2" w:rsidRPr="00F03EC2" w:rsidRDefault="00F03EC2" w:rsidP="00F03EC2">
      <w:pPr>
        <w:pStyle w:val="BodyText"/>
      </w:pPr>
      <w:r w:rsidRPr="00F03EC2">
        <w:t>The Heritage Act is administered by Heritage Victoria and the Heritage Council of Victoria. It is the Victorian Government’s key cultural heritage legislation. The Act identifies and protects heritage places and objects that are of significance to Victoria, including:</w:t>
      </w:r>
    </w:p>
    <w:p w14:paraId="4022C71D" w14:textId="4DD6C5A5" w:rsidR="00F03EC2" w:rsidRPr="00F03EC2" w:rsidRDefault="00CB4637" w:rsidP="00F03EC2">
      <w:pPr>
        <w:pStyle w:val="BodyBullet1"/>
      </w:pPr>
      <w:r w:rsidRPr="00F03EC2">
        <w:t xml:space="preserve">Historic </w:t>
      </w:r>
      <w:r w:rsidR="00F03EC2" w:rsidRPr="00F03EC2">
        <w:t>archaeological sites and artefacts</w:t>
      </w:r>
    </w:p>
    <w:p w14:paraId="113D74E9" w14:textId="7C9ABD6A" w:rsidR="00F03EC2" w:rsidRPr="00F03EC2" w:rsidRDefault="00CB4637" w:rsidP="00F03EC2">
      <w:pPr>
        <w:pStyle w:val="BodyBullet1"/>
      </w:pPr>
      <w:r w:rsidRPr="00F03EC2">
        <w:t xml:space="preserve">Historic </w:t>
      </w:r>
      <w:r w:rsidR="00F03EC2" w:rsidRPr="00F03EC2">
        <w:t>buildings, structures and precincts</w:t>
      </w:r>
    </w:p>
    <w:p w14:paraId="7DBACC28" w14:textId="2D732E30" w:rsidR="00F03EC2" w:rsidRPr="00F03EC2" w:rsidRDefault="00CB4637" w:rsidP="00F03EC2">
      <w:pPr>
        <w:pStyle w:val="BodyBullet1"/>
      </w:pPr>
      <w:r w:rsidRPr="00F03EC2">
        <w:t>Gardens</w:t>
      </w:r>
      <w:r w:rsidR="00F03EC2" w:rsidRPr="00F03EC2">
        <w:t>, trees and cemeteries</w:t>
      </w:r>
    </w:p>
    <w:p w14:paraId="02371F9C" w14:textId="091E91ED" w:rsidR="00F03EC2" w:rsidRPr="00F03EC2" w:rsidRDefault="00CB4637" w:rsidP="00F03EC2">
      <w:pPr>
        <w:pStyle w:val="BodyBullet1"/>
      </w:pPr>
      <w:r w:rsidRPr="00F03EC2">
        <w:t xml:space="preserve">Cultural </w:t>
      </w:r>
      <w:r w:rsidR="00F03EC2" w:rsidRPr="00F03EC2">
        <w:t>landscapes</w:t>
      </w:r>
    </w:p>
    <w:p w14:paraId="17C44791" w14:textId="68751A8C" w:rsidR="00F03EC2" w:rsidRPr="00F03EC2" w:rsidRDefault="00CB4637" w:rsidP="00F03EC2">
      <w:pPr>
        <w:pStyle w:val="BodyBullet1"/>
      </w:pPr>
      <w:r w:rsidRPr="00F03EC2">
        <w:t xml:space="preserve">Shipwrecks </w:t>
      </w:r>
      <w:r w:rsidR="00F03EC2" w:rsidRPr="00F03EC2">
        <w:t>and artefacts</w:t>
      </w:r>
    </w:p>
    <w:p w14:paraId="5FFA3961" w14:textId="3BAB60B5" w:rsidR="00F03EC2" w:rsidRPr="00F03EC2" w:rsidRDefault="00CB4637" w:rsidP="00F03EC2">
      <w:pPr>
        <w:pStyle w:val="BodyBullet1"/>
      </w:pPr>
      <w:r w:rsidRPr="00F03EC2">
        <w:t xml:space="preserve">Significant </w:t>
      </w:r>
      <w:r w:rsidR="00F03EC2" w:rsidRPr="00F03EC2">
        <w:t>objects</w:t>
      </w:r>
    </w:p>
    <w:p w14:paraId="1D781575" w14:textId="02C5C2B2" w:rsidR="00F03EC2" w:rsidRPr="00F03EC2" w:rsidRDefault="00CB4637" w:rsidP="00F03EC2">
      <w:pPr>
        <w:pStyle w:val="BodyBullet1"/>
      </w:pPr>
      <w:r w:rsidRPr="00F03EC2">
        <w:t xml:space="preserve">Objects </w:t>
      </w:r>
      <w:r w:rsidR="00F03EC2" w:rsidRPr="00F03EC2">
        <w:t>associated with a place.</w:t>
      </w:r>
    </w:p>
    <w:p w14:paraId="22DBED77" w14:textId="77777777" w:rsidR="00F03EC2" w:rsidRPr="00F03EC2" w:rsidRDefault="00F03EC2" w:rsidP="00F03EC2">
      <w:pPr>
        <w:pStyle w:val="BodyText"/>
      </w:pPr>
      <w:r w:rsidRPr="00F03EC2">
        <w:t>The Act establishes the Victorian Heritage Register, the Heritage Inventory and the Heritage Council of Victoria.</w:t>
      </w:r>
    </w:p>
    <w:p w14:paraId="4A3B3C4B" w14:textId="77777777" w:rsidR="00600310" w:rsidRDefault="00F03EC2" w:rsidP="00600310">
      <w:pPr>
        <w:pStyle w:val="BodyText"/>
      </w:pPr>
      <w:r w:rsidRPr="00F03EC2">
        <w:lastRenderedPageBreak/>
        <w:t>A Heritage Act Consent for construction activities near the Holden Cobbled Stone Road site is required for the Project.</w:t>
      </w:r>
      <w:bookmarkStart w:id="39" w:name="_Hlk66956457"/>
      <w:r w:rsidR="003C78E5">
        <w:t xml:space="preserve"> </w:t>
      </w:r>
    </w:p>
    <w:p w14:paraId="3BF40ABB" w14:textId="56104BDD" w:rsidR="00675513" w:rsidRDefault="00675513" w:rsidP="00547D6A">
      <w:pPr>
        <w:pStyle w:val="Heading2"/>
      </w:pPr>
      <w:bookmarkStart w:id="40" w:name="_Toc71731594"/>
      <w:bookmarkStart w:id="41" w:name="_Toc72230976"/>
      <w:r>
        <w:t>Other</w:t>
      </w:r>
      <w:r w:rsidR="003C78E5">
        <w:t> </w:t>
      </w:r>
      <w:r>
        <w:t>applicable</w:t>
      </w:r>
      <w:r w:rsidR="003C78E5">
        <w:t> </w:t>
      </w:r>
      <w:r>
        <w:t>legislation</w:t>
      </w:r>
      <w:bookmarkEnd w:id="40"/>
      <w:bookmarkEnd w:id="41"/>
    </w:p>
    <w:p w14:paraId="1D6390AA" w14:textId="77777777" w:rsidR="00675513" w:rsidRPr="00E613EA" w:rsidRDefault="00675513" w:rsidP="00A96A92">
      <w:pPr>
        <w:pStyle w:val="Heading3"/>
      </w:pPr>
      <w:bookmarkStart w:id="42" w:name="_Toc71731595"/>
      <w:bookmarkStart w:id="43" w:name="_Toc72230977"/>
      <w:r w:rsidRPr="00E613EA">
        <w:t>Environment Protection Act 1970 (Vic) and Environment Protection Act 2017 (Vic)</w:t>
      </w:r>
      <w:bookmarkEnd w:id="42"/>
      <w:bookmarkEnd w:id="43"/>
    </w:p>
    <w:p w14:paraId="2A5FD2F7" w14:textId="3FFEB364" w:rsidR="00675513" w:rsidRPr="003C78E5" w:rsidRDefault="00675513" w:rsidP="00675513">
      <w:pPr>
        <w:pStyle w:val="BodyText"/>
      </w:pPr>
      <w:r>
        <w:t>T</w:t>
      </w:r>
      <w:r w:rsidRPr="00675513">
        <w:t>he EP Act establishes the legislative framework for protecting the environment in Victoria. It</w:t>
      </w:r>
      <w:r w:rsidR="00AC57BD">
        <w:t> </w:t>
      </w:r>
      <w:r w:rsidRPr="003C78E5">
        <w:t>regulates certain activities with the potential to impact on the environment and prohibits the occupier of</w:t>
      </w:r>
      <w:r w:rsidR="003C78E5">
        <w:t> </w:t>
      </w:r>
      <w:r w:rsidRPr="003C78E5">
        <w:t xml:space="preserve">"scheduled premises" from doing any act or thing (including installing any plant, </w:t>
      </w:r>
      <w:proofErr w:type="gramStart"/>
      <w:r w:rsidRPr="003C78E5">
        <w:t>equipment</w:t>
      </w:r>
      <w:proofErr w:type="gramEnd"/>
      <w:r w:rsidRPr="003C78E5">
        <w:t xml:space="preserve"> or process) that is likely to cause the discharge or emission of waste to the environment, unless authorised to do so.</w:t>
      </w:r>
    </w:p>
    <w:p w14:paraId="392D2147" w14:textId="30B7F228" w:rsidR="00675513" w:rsidRPr="00675513" w:rsidRDefault="00675513" w:rsidP="00675513">
      <w:pPr>
        <w:pStyle w:val="BodyText"/>
      </w:pPr>
      <w:r w:rsidRPr="003C78E5">
        <w:t>The EP Act 1970 requires a Works Approval for scheduled premises which exceed air emissions</w:t>
      </w:r>
      <w:r w:rsidRPr="00675513">
        <w:t xml:space="preserve"> thresholds under Schedule 1 of the Environment Protection (Scheduled Premises) Regulations 2017 (Vic). Following consultation with EPA, a Works Approval or Development Licence is not required for the Wollert </w:t>
      </w:r>
      <w:r>
        <w:t>C</w:t>
      </w:r>
      <w:r w:rsidRPr="00675513">
        <w:t xml:space="preserve">ompressor </w:t>
      </w:r>
      <w:r>
        <w:t>S</w:t>
      </w:r>
      <w:r w:rsidRPr="00675513">
        <w:t xml:space="preserve">tation upgrade component of the Project. </w:t>
      </w:r>
    </w:p>
    <w:p w14:paraId="13626894" w14:textId="24441292" w:rsidR="00675513" w:rsidRPr="00675513" w:rsidRDefault="00675513" w:rsidP="00675513">
      <w:pPr>
        <w:pStyle w:val="BodyText"/>
      </w:pPr>
      <w:r w:rsidRPr="00675513">
        <w:t>A number of State Environment Protection Policies (SEPPs) have been prepared under the EP Act 1970, which set standards, guidelines and environmental quality objectives and indicators to protect beneficial uses of the environment, including noise, surface and groundwater, land contamination and air quality. SEPPs express in law the community’s expectations, needs and priorities for using and protecting the environment. The SEPPs applicable to the Project are discussed in the EES chapters and technical reports as relevant.</w:t>
      </w:r>
    </w:p>
    <w:p w14:paraId="6F1A3932" w14:textId="6743B4C7" w:rsidR="00675513" w:rsidRDefault="00675513" w:rsidP="00675513">
      <w:pPr>
        <w:pStyle w:val="BodyText"/>
      </w:pPr>
      <w:r w:rsidRPr="00675513">
        <w:t xml:space="preserve">The Environment Protection Act 2017 (Vic) (as amended by the </w:t>
      </w:r>
      <w:r w:rsidRPr="003C78E5">
        <w:rPr>
          <w:rStyle w:val="Italics"/>
        </w:rPr>
        <w:t>Environment Protection Amendment Act 2018</w:t>
      </w:r>
      <w:r w:rsidRPr="00675513">
        <w:t xml:space="preserve"> (Vic)) </w:t>
      </w:r>
      <w:r w:rsidR="00D47A2A">
        <w:t>will</w:t>
      </w:r>
      <w:r w:rsidRPr="00675513">
        <w:t xml:space="preserve"> commence on 1 July 2021 (this </w:t>
      </w:r>
      <w:r w:rsidR="00D47A2A">
        <w:t>was</w:t>
      </w:r>
      <w:r w:rsidR="00D47A2A" w:rsidRPr="00675513">
        <w:t xml:space="preserve"> </w:t>
      </w:r>
      <w:r w:rsidRPr="00675513">
        <w:t>proclaimed</w:t>
      </w:r>
      <w:r w:rsidR="00D47A2A">
        <w:t xml:space="preserve"> by the Governor in Council on 16 March 2021</w:t>
      </w:r>
      <w:r w:rsidRPr="00675513">
        <w:t xml:space="preserve">). This Act (as amended) will substantially amend the environment protection framework, including adopting a new general environmental duty and introducing a new permissions scheme including a development licence, operating licence, permits and registrations. New Environmental Reference Standards and </w:t>
      </w:r>
      <w:r w:rsidR="001F41F8">
        <w:t>Environmental Protection Regulations</w:t>
      </w:r>
      <w:r w:rsidR="001F41F8" w:rsidRPr="00675513">
        <w:t xml:space="preserve"> </w:t>
      </w:r>
      <w:r w:rsidRPr="00675513">
        <w:t>will be developed under the new Act to replace current SEPP and EPA guidelines.</w:t>
      </w:r>
      <w:r w:rsidR="008243AF">
        <w:t xml:space="preserve"> </w:t>
      </w:r>
      <w:r w:rsidR="008243AF" w:rsidRPr="008243AF">
        <w:t xml:space="preserve">For </w:t>
      </w:r>
      <w:proofErr w:type="gramStart"/>
      <w:r w:rsidR="008243AF" w:rsidRPr="008243AF">
        <w:t>example</w:t>
      </w:r>
      <w:proofErr w:type="gramEnd"/>
      <w:r w:rsidR="008243AF" w:rsidRPr="008243AF">
        <w:t xml:space="preserve"> the management of environmental risks during the construction of the pipeline will follow the guidance in new publication 1820: Construction – Guide to preventing harm to people and the environment.</w:t>
      </w:r>
    </w:p>
    <w:p w14:paraId="130DD614" w14:textId="206C4374" w:rsidR="00675513" w:rsidRPr="00A96A92" w:rsidRDefault="00675513" w:rsidP="00A96A92">
      <w:pPr>
        <w:pStyle w:val="BodyText"/>
        <w:rPr>
          <w:rStyle w:val="Italics"/>
        </w:rPr>
      </w:pPr>
      <w:r>
        <w:t>Whilst an approval is not required, t</w:t>
      </w:r>
      <w:r w:rsidRPr="00675513">
        <w:t xml:space="preserve">he design and delivery of the Project must otherwise comply with appropriate regulations, </w:t>
      </w:r>
      <w:proofErr w:type="gramStart"/>
      <w:r w:rsidRPr="00675513">
        <w:t>SEPPs</w:t>
      </w:r>
      <w:proofErr w:type="gramEnd"/>
      <w:r w:rsidRPr="00675513">
        <w:t xml:space="preserve"> and guidelines under the EP Act where they apply to Project activities. These compliance requirements are identified in Chapter </w:t>
      </w:r>
      <w:r>
        <w:t>19</w:t>
      </w:r>
      <w:r w:rsidRPr="00675513">
        <w:t xml:space="preserve"> </w:t>
      </w:r>
      <w:r w:rsidRPr="00A96A92">
        <w:rPr>
          <w:rStyle w:val="Italics"/>
        </w:rPr>
        <w:t>Environmental management framework.</w:t>
      </w:r>
    </w:p>
    <w:p w14:paraId="4DE202BF" w14:textId="630E7038" w:rsidR="00547D6A" w:rsidRPr="00547D6A" w:rsidRDefault="00547D6A" w:rsidP="00547D6A">
      <w:pPr>
        <w:pStyle w:val="Heading2"/>
      </w:pPr>
      <w:bookmarkStart w:id="44" w:name="_Toc71731596"/>
      <w:bookmarkStart w:id="45" w:name="_Toc72230978"/>
      <w:bookmarkEnd w:id="39"/>
      <w:r w:rsidRPr="000667B5">
        <w:lastRenderedPageBreak/>
        <w:t>Overview of the EES assessment framework</w:t>
      </w:r>
      <w:bookmarkEnd w:id="44"/>
      <w:bookmarkEnd w:id="45"/>
    </w:p>
    <w:p w14:paraId="72902F07" w14:textId="4F524228" w:rsidR="00547D6A" w:rsidRPr="000667B5" w:rsidRDefault="00547D6A" w:rsidP="00CB4637">
      <w:pPr>
        <w:pStyle w:val="BodyText"/>
        <w:keepNext/>
      </w:pPr>
      <w:r w:rsidRPr="000667B5">
        <w:t xml:space="preserve">The </w:t>
      </w:r>
      <w:r w:rsidR="00D34A31">
        <w:t>following</w:t>
      </w:r>
      <w:r w:rsidRPr="000667B5">
        <w:t xml:space="preserve"> key components of the assessment framework are illustrated in</w:t>
      </w:r>
      <w:r>
        <w:t xml:space="preserve"> </w:t>
      </w:r>
      <w:r w:rsidR="00E613EA">
        <w:fldChar w:fldCharType="begin"/>
      </w:r>
      <w:r w:rsidR="00E613EA">
        <w:instrText xml:space="preserve"> REF _Ref70884993 \h </w:instrText>
      </w:r>
      <w:r w:rsidR="00E613EA">
        <w:fldChar w:fldCharType="separate"/>
      </w:r>
      <w:r w:rsidR="007D394B">
        <w:t>Figure </w:t>
      </w:r>
      <w:r w:rsidR="007D394B">
        <w:rPr>
          <w:noProof/>
        </w:rPr>
        <w:t>5</w:t>
      </w:r>
      <w:r w:rsidR="007D394B">
        <w:noBreakHyphen/>
      </w:r>
      <w:r w:rsidR="007D394B">
        <w:rPr>
          <w:noProof/>
        </w:rPr>
        <w:t>3</w:t>
      </w:r>
      <w:r w:rsidR="00E613EA">
        <w:fldChar w:fldCharType="end"/>
      </w:r>
      <w:r w:rsidRPr="000667B5">
        <w:t>:</w:t>
      </w:r>
    </w:p>
    <w:p w14:paraId="206910FD" w14:textId="19B97AD9" w:rsidR="00547D6A" w:rsidRPr="00547D6A" w:rsidRDefault="00547D6A" w:rsidP="00CB4637">
      <w:pPr>
        <w:pStyle w:val="BodyBullet1"/>
        <w:keepNext/>
      </w:pPr>
      <w:r w:rsidRPr="00547D6A">
        <w:t>Evaluation framework</w:t>
      </w:r>
      <w:r w:rsidR="001943DB">
        <w:t>:</w:t>
      </w:r>
      <w:r w:rsidRPr="00547D6A">
        <w:t xml:space="preserve"> the EES scoping requirements and relevant policy and legislation</w:t>
      </w:r>
    </w:p>
    <w:p w14:paraId="79BD6DAF" w14:textId="7BAA96AB" w:rsidR="00547D6A" w:rsidRPr="00547D6A" w:rsidRDefault="00547D6A" w:rsidP="002B2A21">
      <w:pPr>
        <w:pStyle w:val="BodyBullet1"/>
      </w:pPr>
      <w:r w:rsidRPr="00547D6A">
        <w:t>Assessment approach</w:t>
      </w:r>
      <w:r w:rsidR="001943DB">
        <w:t>:</w:t>
      </w:r>
      <w:r w:rsidRPr="00547D6A">
        <w:t xml:space="preserve"> the process for undertaking the technical reports including an assessment of existing conditions, risk assessment, impact assessment and development of environmental management measures</w:t>
      </w:r>
      <w:r w:rsidR="002B2A21">
        <w:t>, to evaluate whether the P</w:t>
      </w:r>
      <w:r w:rsidR="002B2A21" w:rsidRPr="002B2A21">
        <w:t>roject’s effects are maintained within permissible levels</w:t>
      </w:r>
      <w:r w:rsidR="00AA05B8">
        <w:t>,</w:t>
      </w:r>
      <w:r w:rsidR="002B2A21" w:rsidRPr="002B2A21">
        <w:t xml:space="preserve"> and propose contingency approaches if they are not</w:t>
      </w:r>
    </w:p>
    <w:p w14:paraId="7325C01E" w14:textId="5A631508" w:rsidR="00547D6A" w:rsidRPr="00547D6A" w:rsidRDefault="00547D6A" w:rsidP="00636C13">
      <w:pPr>
        <w:pStyle w:val="BodyBullet1"/>
      </w:pPr>
      <w:r w:rsidRPr="00547D6A">
        <w:t>Project development</w:t>
      </w:r>
      <w:r w:rsidR="001943DB">
        <w:t>:</w:t>
      </w:r>
      <w:r w:rsidRPr="00547D6A">
        <w:t xml:space="preserve"> the progression of the Project design</w:t>
      </w:r>
    </w:p>
    <w:p w14:paraId="0A482E52" w14:textId="262AB7F0" w:rsidR="00547D6A" w:rsidRPr="00547D6A" w:rsidRDefault="00547D6A" w:rsidP="00636C13">
      <w:pPr>
        <w:pStyle w:val="BodyBullet1"/>
      </w:pPr>
      <w:r w:rsidRPr="00547D6A">
        <w:t>Consultation</w:t>
      </w:r>
      <w:r w:rsidR="001943DB">
        <w:t>:</w:t>
      </w:r>
      <w:r w:rsidRPr="00547D6A">
        <w:t xml:space="preserve"> community and stakeholder consultation activities.</w:t>
      </w:r>
    </w:p>
    <w:p w14:paraId="79F3DB9C" w14:textId="7983964E" w:rsidR="001D7516" w:rsidRDefault="001D7516" w:rsidP="001D7516">
      <w:pPr>
        <w:pStyle w:val="Caption"/>
      </w:pPr>
      <w:bookmarkStart w:id="46" w:name="_Ref70884993"/>
      <w:r>
        <w:t>Figure</w:t>
      </w:r>
      <w:r w:rsidR="003C78E5">
        <w:t> </w:t>
      </w:r>
      <w:fldSimple w:instr=" STYLEREF 1 \s ">
        <w:r w:rsidR="007D394B">
          <w:rPr>
            <w:noProof/>
          </w:rPr>
          <w:t>5</w:t>
        </w:r>
      </w:fldSimple>
      <w:r w:rsidR="00A6198F">
        <w:noBreakHyphen/>
      </w:r>
      <w:fldSimple w:instr=" SEQ Figure \* ARABIC \s 1 ">
        <w:r w:rsidR="007D394B">
          <w:rPr>
            <w:noProof/>
          </w:rPr>
          <w:t>3</w:t>
        </w:r>
      </w:fldSimple>
      <w:bookmarkEnd w:id="46"/>
      <w:r w:rsidR="00953C10">
        <w:tab/>
      </w:r>
      <w:r>
        <w:t>EES assessment framework</w:t>
      </w:r>
    </w:p>
    <w:p w14:paraId="0E25B72A" w14:textId="44B1FA26" w:rsidR="00547D6A" w:rsidRDefault="00547D6A" w:rsidP="003C78E5">
      <w:pPr>
        <w:pStyle w:val="Object"/>
      </w:pPr>
      <w:r w:rsidRPr="00547D6A">
        <w:rPr>
          <w:noProof/>
          <w:lang w:eastAsia="en-AU"/>
        </w:rPr>
        <w:drawing>
          <wp:inline distT="0" distB="0" distL="0" distR="0" wp14:anchorId="79AF6049" wp14:editId="1CA46DB2">
            <wp:extent cx="5760000" cy="5151140"/>
            <wp:effectExtent l="0" t="0" r="0" b="0"/>
            <wp:docPr id="19" name="Picture 19" descr="This figure shows a flowchart illustrating the EES Framework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figure shows a flowchart illustrating the EES Framework as described in the text abov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00" cy="5151140"/>
                    </a:xfrm>
                    <a:prstGeom prst="rect">
                      <a:avLst/>
                    </a:prstGeom>
                  </pic:spPr>
                </pic:pic>
              </a:graphicData>
            </a:graphic>
          </wp:inline>
        </w:drawing>
      </w:r>
    </w:p>
    <w:p w14:paraId="40D10394" w14:textId="11289CF8" w:rsidR="00547D6A" w:rsidRPr="00547D6A" w:rsidRDefault="00547D6A" w:rsidP="00547D6A">
      <w:pPr>
        <w:pStyle w:val="Heading2"/>
      </w:pPr>
      <w:bookmarkStart w:id="47" w:name="_Ref47530555"/>
      <w:bookmarkStart w:id="48" w:name="_Ref47531747"/>
      <w:bookmarkStart w:id="49" w:name="_Toc71731597"/>
      <w:bookmarkStart w:id="50" w:name="_Toc72230979"/>
      <w:r w:rsidRPr="000667B5">
        <w:lastRenderedPageBreak/>
        <w:t>Scoping requirements</w:t>
      </w:r>
      <w:r w:rsidRPr="00547D6A">
        <w:t xml:space="preserve"> and</w:t>
      </w:r>
      <w:r w:rsidR="00CB4637">
        <w:t> </w:t>
      </w:r>
      <w:r w:rsidRPr="00547D6A">
        <w:t>evaluation</w:t>
      </w:r>
      <w:r w:rsidR="00CB4637">
        <w:t> </w:t>
      </w:r>
      <w:r w:rsidRPr="00547D6A">
        <w:t>objectives</w:t>
      </w:r>
      <w:bookmarkEnd w:id="47"/>
      <w:bookmarkEnd w:id="48"/>
      <w:bookmarkEnd w:id="49"/>
      <w:bookmarkEnd w:id="50"/>
    </w:p>
    <w:p w14:paraId="2D832679" w14:textId="63B6087C" w:rsidR="00547D6A" w:rsidRPr="000667B5" w:rsidRDefault="00547D6A" w:rsidP="00547D6A">
      <w:pPr>
        <w:pStyle w:val="BodyText"/>
      </w:pPr>
      <w:r w:rsidRPr="000667B5">
        <w:t xml:space="preserve">The assessment framework responds to the applicable legislation and policy and the scoping requirements, incorporating the evaluation objectives. The evaluation objectives identify desired environmental outcomes for </w:t>
      </w:r>
      <w:r>
        <w:t>the Project</w:t>
      </w:r>
      <w:r w:rsidRPr="000667B5">
        <w:t xml:space="preserve"> as established by the Minister for Planning.</w:t>
      </w:r>
    </w:p>
    <w:p w14:paraId="1B67C467" w14:textId="3D733BA8" w:rsidR="00547D6A" w:rsidRPr="008805C8" w:rsidRDefault="00547D6A" w:rsidP="00547D6A">
      <w:pPr>
        <w:pStyle w:val="BodyText"/>
      </w:pPr>
      <w:r>
        <w:fldChar w:fldCharType="begin"/>
      </w:r>
      <w:r>
        <w:instrText xml:space="preserve"> REF _Ref46262478 \h  \* MERGEFORMAT </w:instrText>
      </w:r>
      <w:r>
        <w:fldChar w:fldCharType="separate"/>
      </w:r>
      <w:r w:rsidR="007D394B" w:rsidRPr="000667B5">
        <w:t>Table</w:t>
      </w:r>
      <w:r w:rsidR="007D394B">
        <w:t> 5</w:t>
      </w:r>
      <w:r w:rsidR="007D394B" w:rsidRPr="00547D6A">
        <w:noBreakHyphen/>
      </w:r>
      <w:r w:rsidR="007D394B">
        <w:t>1</w:t>
      </w:r>
      <w:r>
        <w:fldChar w:fldCharType="end"/>
      </w:r>
      <w:r w:rsidR="00443F9F">
        <w:t xml:space="preserve"> </w:t>
      </w:r>
      <w:r w:rsidRPr="000667B5">
        <w:t xml:space="preserve">presents the Project evaluation objectives, corresponding </w:t>
      </w:r>
      <w:proofErr w:type="gramStart"/>
      <w:r w:rsidRPr="000667B5">
        <w:t>legislation</w:t>
      </w:r>
      <w:proofErr w:type="gramEnd"/>
      <w:r w:rsidRPr="000667B5">
        <w:t xml:space="preserve"> and locations of where each evaluation objective is addressed within the EES report, attachments and technical reports. This</w:t>
      </w:r>
      <w:r w:rsidR="00AC57BD">
        <w:t> </w:t>
      </w:r>
      <w:r w:rsidRPr="000667B5">
        <w:t xml:space="preserve">table includes an overview of key legislation. Further legislation and policy </w:t>
      </w:r>
      <w:proofErr w:type="gramStart"/>
      <w:r w:rsidRPr="000667B5">
        <w:t>is</w:t>
      </w:r>
      <w:proofErr w:type="gramEnd"/>
      <w:r w:rsidRPr="000667B5">
        <w:t xml:space="preserve"> described in each of the technical re</w:t>
      </w:r>
      <w:r w:rsidRPr="008805C8">
        <w:t xml:space="preserve">ports. </w:t>
      </w:r>
    </w:p>
    <w:p w14:paraId="76E67217" w14:textId="574902E4" w:rsidR="00547D6A" w:rsidRPr="000667B5" w:rsidRDefault="00547D6A" w:rsidP="00547D6A">
      <w:pPr>
        <w:pStyle w:val="BodyText"/>
      </w:pPr>
      <w:r w:rsidRPr="008805C8">
        <w:t xml:space="preserve">Chapter </w:t>
      </w:r>
      <w:r w:rsidR="008C324F">
        <w:t>19</w:t>
      </w:r>
      <w:r w:rsidR="008C324F" w:rsidRPr="000667B5">
        <w:t xml:space="preserve"> </w:t>
      </w:r>
      <w:r w:rsidRPr="004B26EA">
        <w:rPr>
          <w:rStyle w:val="Italics"/>
        </w:rPr>
        <w:t>Environmental management framework</w:t>
      </w:r>
      <w:r w:rsidRPr="000667B5">
        <w:t xml:space="preserve"> (EMF) is relevant for all evaluation objectives as it provides </w:t>
      </w:r>
      <w:r w:rsidR="00A80C01">
        <w:t>the</w:t>
      </w:r>
      <w:r w:rsidRPr="000667B5">
        <w:t xml:space="preserve"> framework for managing and monitoring the environmental effects of the Project and as such has not been included in</w:t>
      </w:r>
      <w:r>
        <w:t xml:space="preserve"> </w:t>
      </w:r>
      <w:r>
        <w:fldChar w:fldCharType="begin"/>
      </w:r>
      <w:r>
        <w:instrText xml:space="preserve"> REF _Ref46262478 \h  \* MERGEFORMAT </w:instrText>
      </w:r>
      <w:r>
        <w:fldChar w:fldCharType="separate"/>
      </w:r>
      <w:r w:rsidR="007D394B" w:rsidRPr="000667B5">
        <w:t>Table</w:t>
      </w:r>
      <w:r w:rsidR="007D394B">
        <w:t> 5</w:t>
      </w:r>
      <w:r w:rsidR="007D394B" w:rsidRPr="00547D6A">
        <w:noBreakHyphen/>
      </w:r>
      <w:r w:rsidR="007D394B">
        <w:t>1</w:t>
      </w:r>
      <w:r>
        <w:fldChar w:fldCharType="end"/>
      </w:r>
      <w:r w:rsidRPr="000667B5">
        <w:t>.</w:t>
      </w:r>
    </w:p>
    <w:p w14:paraId="01B3D1EC" w14:textId="11EB3BB1" w:rsidR="00547D6A" w:rsidRDefault="00547D6A" w:rsidP="00547D6A">
      <w:pPr>
        <w:pStyle w:val="Caption"/>
      </w:pPr>
      <w:bookmarkStart w:id="51" w:name="_Ref46262478"/>
      <w:bookmarkStart w:id="52" w:name="_Ref45189533"/>
      <w:r w:rsidRPr="000667B5">
        <w:t>Table</w:t>
      </w:r>
      <w:r w:rsidR="00AC57BD">
        <w:t> </w:t>
      </w:r>
      <w:fldSimple w:instr=" STYLEREF 1 \s ">
        <w:r w:rsidR="007D394B">
          <w:rPr>
            <w:noProof/>
          </w:rPr>
          <w:t>5</w:t>
        </w:r>
      </w:fldSimple>
      <w:r w:rsidRPr="00547D6A">
        <w:noBreakHyphen/>
      </w:r>
      <w:fldSimple w:instr=" SEQ Table \* ARABIC \s 1 ">
        <w:r w:rsidR="007D394B">
          <w:rPr>
            <w:noProof/>
          </w:rPr>
          <w:t>1</w:t>
        </w:r>
      </w:fldSimple>
      <w:bookmarkEnd w:id="51"/>
      <w:bookmarkEnd w:id="52"/>
      <w:r w:rsidR="00AC57BD">
        <w:tab/>
      </w:r>
      <w:r w:rsidRPr="00547D6A">
        <w:t>EES draft evaluation objectives and corresponding legislation</w:t>
      </w:r>
    </w:p>
    <w:tbl>
      <w:tblPr>
        <w:tblStyle w:val="MainTableStyle"/>
        <w:tblW w:w="0" w:type="auto"/>
        <w:tblLook w:val="04A0" w:firstRow="1" w:lastRow="0" w:firstColumn="1" w:lastColumn="0" w:noHBand="0" w:noVBand="1"/>
      </w:tblPr>
      <w:tblGrid>
        <w:gridCol w:w="2547"/>
        <w:gridCol w:w="3685"/>
        <w:gridCol w:w="2828"/>
      </w:tblGrid>
      <w:tr w:rsidR="00A3192C" w14:paraId="16C43379" w14:textId="77777777" w:rsidTr="00CB4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4E254AF" w14:textId="495E84A3" w:rsidR="00A3192C" w:rsidRPr="00A3192C" w:rsidRDefault="00A3192C" w:rsidP="00A3192C">
            <w:pPr>
              <w:pStyle w:val="TableText"/>
            </w:pPr>
            <w:r w:rsidRPr="00547D6A">
              <w:t>Evaluation objectives</w:t>
            </w:r>
          </w:p>
        </w:tc>
        <w:tc>
          <w:tcPr>
            <w:tcW w:w="3685" w:type="dxa"/>
          </w:tcPr>
          <w:p w14:paraId="39D78AD3" w14:textId="4A132AB8" w:rsidR="00A3192C" w:rsidRPr="00A3192C" w:rsidRDefault="00A3192C" w:rsidP="00A3192C">
            <w:pPr>
              <w:pStyle w:val="TableText"/>
              <w:cnfStyle w:val="100000000000" w:firstRow="1" w:lastRow="0" w:firstColumn="0" w:lastColumn="0" w:oddVBand="0" w:evenVBand="0" w:oddHBand="0" w:evenHBand="0" w:firstRowFirstColumn="0" w:firstRowLastColumn="0" w:lastRowFirstColumn="0" w:lastRowLastColumn="0"/>
            </w:pPr>
            <w:r w:rsidRPr="00547D6A">
              <w:t>Key legislation</w:t>
            </w:r>
          </w:p>
        </w:tc>
        <w:tc>
          <w:tcPr>
            <w:tcW w:w="2828" w:type="dxa"/>
          </w:tcPr>
          <w:p w14:paraId="1CF5A4E9" w14:textId="5C5AB5F3" w:rsidR="00A3192C" w:rsidRPr="00A3192C" w:rsidRDefault="00A3192C" w:rsidP="00A3192C">
            <w:pPr>
              <w:pStyle w:val="TableText"/>
              <w:cnfStyle w:val="100000000000" w:firstRow="1" w:lastRow="0" w:firstColumn="0" w:lastColumn="0" w:oddVBand="0" w:evenVBand="0" w:oddHBand="0" w:evenHBand="0" w:firstRowFirstColumn="0" w:firstRowLastColumn="0" w:lastRowFirstColumn="0" w:lastRowLastColumn="0"/>
            </w:pPr>
            <w:r w:rsidRPr="00547D6A">
              <w:t xml:space="preserve">Relevant EES chapter, technical </w:t>
            </w:r>
            <w:proofErr w:type="gramStart"/>
            <w:r w:rsidRPr="00547D6A">
              <w:t>report</w:t>
            </w:r>
            <w:proofErr w:type="gramEnd"/>
            <w:r w:rsidRPr="00547D6A">
              <w:t xml:space="preserve"> and attachment</w:t>
            </w:r>
          </w:p>
        </w:tc>
      </w:tr>
      <w:tr w:rsidR="00A3192C" w14:paraId="595DB785" w14:textId="77777777" w:rsidTr="00CB4637">
        <w:trPr>
          <w:cantSplit/>
        </w:trPr>
        <w:tc>
          <w:tcPr>
            <w:cnfStyle w:val="001000000000" w:firstRow="0" w:lastRow="0" w:firstColumn="1" w:lastColumn="0" w:oddVBand="0" w:evenVBand="0" w:oddHBand="0" w:evenHBand="0" w:firstRowFirstColumn="0" w:firstRowLastColumn="0" w:lastRowFirstColumn="0" w:lastRowLastColumn="0"/>
            <w:tcW w:w="2547" w:type="dxa"/>
          </w:tcPr>
          <w:p w14:paraId="20820A3F" w14:textId="57991B6D" w:rsidR="00A3192C" w:rsidRPr="00547D6A" w:rsidRDefault="00A3192C" w:rsidP="00A3192C">
            <w:pPr>
              <w:pStyle w:val="TableText"/>
            </w:pPr>
            <w:r w:rsidRPr="00547D6A">
              <w:t xml:space="preserve">Energy efficiency, security, </w:t>
            </w:r>
            <w:proofErr w:type="gramStart"/>
            <w:r w:rsidRPr="00547D6A">
              <w:t>affordability</w:t>
            </w:r>
            <w:proofErr w:type="gramEnd"/>
            <w:r w:rsidRPr="00547D6A">
              <w:t xml:space="preserve"> and safety</w:t>
            </w:r>
          </w:p>
          <w:p w14:paraId="7FF75E9A" w14:textId="490A18B5" w:rsidR="00A3192C" w:rsidRPr="00A3192C" w:rsidRDefault="00A3192C" w:rsidP="00A3192C">
            <w:pPr>
              <w:pStyle w:val="TableText"/>
            </w:pPr>
            <w:r>
              <w:t>Provide for safe and cost-effective pipeline connection between the eastern and western sections of the Victorian Transmission System</w:t>
            </w:r>
          </w:p>
        </w:tc>
        <w:tc>
          <w:tcPr>
            <w:tcW w:w="3685" w:type="dxa"/>
          </w:tcPr>
          <w:p w14:paraId="393EAC5B" w14:textId="77777777"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rsidRPr="004B26EA">
              <w:rPr>
                <w:rStyle w:val="Italics"/>
              </w:rPr>
              <w:t xml:space="preserve">Pipelines Act 2005 </w:t>
            </w:r>
            <w:r w:rsidRPr="00547D6A">
              <w:t>(Vic)</w:t>
            </w:r>
          </w:p>
          <w:p w14:paraId="6A034848" w14:textId="77777777"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rsidRPr="004B26EA">
              <w:rPr>
                <w:rStyle w:val="Italics"/>
              </w:rPr>
              <w:t>Public Health and Wellbeing Act 2008</w:t>
            </w:r>
            <w:r w:rsidRPr="00547D6A">
              <w:t xml:space="preserve"> (Vic)</w:t>
            </w:r>
          </w:p>
          <w:p w14:paraId="1AF8DC7B" w14:textId="77777777"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rsidRPr="004B26EA">
              <w:rPr>
                <w:rStyle w:val="Italics"/>
              </w:rPr>
              <w:t>Dangerous Goods Act 1985</w:t>
            </w:r>
            <w:r w:rsidRPr="00547D6A">
              <w:t xml:space="preserve"> (Vic)</w:t>
            </w:r>
          </w:p>
          <w:p w14:paraId="582F2ADB" w14:textId="77777777"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rsidRPr="004B26EA">
              <w:rPr>
                <w:rStyle w:val="Italics"/>
              </w:rPr>
              <w:t>Electricity Safety Act 1998</w:t>
            </w:r>
            <w:r w:rsidRPr="00547D6A">
              <w:t xml:space="preserve"> (Vic)</w:t>
            </w:r>
          </w:p>
          <w:p w14:paraId="248BFB09" w14:textId="77777777"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rsidRPr="004B26EA">
              <w:rPr>
                <w:rStyle w:val="Italics"/>
              </w:rPr>
              <w:t>Gas Safety Act 1997</w:t>
            </w:r>
            <w:r w:rsidRPr="00547D6A">
              <w:t xml:space="preserve"> (Vic)</w:t>
            </w:r>
          </w:p>
          <w:p w14:paraId="292A5C31" w14:textId="77777777"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rsidRPr="004B26EA">
              <w:rPr>
                <w:rStyle w:val="Italics"/>
              </w:rPr>
              <w:t>Gas Industry Act 2001</w:t>
            </w:r>
            <w:r w:rsidRPr="00547D6A">
              <w:t xml:space="preserve"> (Vic)</w:t>
            </w:r>
          </w:p>
          <w:p w14:paraId="2D4349C2" w14:textId="5D38161B" w:rsidR="00A3192C" w:rsidRDefault="00A3192C" w:rsidP="00A3192C">
            <w:pPr>
              <w:pStyle w:val="TableText"/>
              <w:cnfStyle w:val="000000000000" w:firstRow="0" w:lastRow="0" w:firstColumn="0" w:lastColumn="0" w:oddVBand="0" w:evenVBand="0" w:oddHBand="0" w:evenHBand="0" w:firstRowFirstColumn="0" w:firstRowLastColumn="0" w:lastRowFirstColumn="0" w:lastRowLastColumn="0"/>
            </w:pPr>
            <w:r w:rsidRPr="004B26EA">
              <w:rPr>
                <w:rStyle w:val="Italics"/>
              </w:rPr>
              <w:t>Climate Change Act 2017</w:t>
            </w:r>
            <w:r>
              <w:t xml:space="preserve"> (Vic)</w:t>
            </w:r>
          </w:p>
          <w:p w14:paraId="4BB4F03C" w14:textId="624FF8D6" w:rsidR="00C906F4" w:rsidRPr="003C78E5" w:rsidRDefault="00C906F4" w:rsidP="00C906F4">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3C78E5">
              <w:rPr>
                <w:rStyle w:val="Italics"/>
              </w:rPr>
              <w:t xml:space="preserve">National Greenhouse and Energy Reporting Act 2007 (Commonwealth) </w:t>
            </w:r>
          </w:p>
          <w:p w14:paraId="4FF53C3F" w14:textId="16A9B12B" w:rsidR="00D22763" w:rsidRDefault="00D22763" w:rsidP="00A3192C">
            <w:pPr>
              <w:pStyle w:val="TableText"/>
              <w:cnfStyle w:val="000000000000" w:firstRow="0" w:lastRow="0" w:firstColumn="0" w:lastColumn="0" w:oddVBand="0" w:evenVBand="0" w:oddHBand="0" w:evenHBand="0" w:firstRowFirstColumn="0" w:firstRowLastColumn="0" w:lastRowFirstColumn="0" w:lastRowLastColumn="0"/>
            </w:pPr>
            <w:r>
              <w:rPr>
                <w:rStyle w:val="Italics"/>
              </w:rPr>
              <w:t xml:space="preserve">Environment </w:t>
            </w:r>
            <w:r w:rsidR="00AA05B8">
              <w:rPr>
                <w:rStyle w:val="Italics"/>
              </w:rPr>
              <w:t>P</w:t>
            </w:r>
            <w:r>
              <w:rPr>
                <w:rStyle w:val="Italics"/>
              </w:rPr>
              <w:t xml:space="preserve">rotection Act 1970 </w:t>
            </w:r>
            <w:r>
              <w:rPr>
                <w:rStyle w:val="Removedirectformatting"/>
              </w:rPr>
              <w:t>(Vic)</w:t>
            </w:r>
            <w:r w:rsidR="00E873AE">
              <w:rPr>
                <w:rStyle w:val="Removedirectformatting"/>
              </w:rPr>
              <w:t xml:space="preserve"> (</w:t>
            </w:r>
            <w:r w:rsidR="00E873AE" w:rsidRPr="003C78E5">
              <w:rPr>
                <w:rStyle w:val="Italics"/>
              </w:rPr>
              <w:t>Environment Protection Act 2017</w:t>
            </w:r>
            <w:r w:rsidR="00E873AE" w:rsidRPr="00E873AE">
              <w:t xml:space="preserve"> (Vic)</w:t>
            </w:r>
            <w:r w:rsidR="00E873AE">
              <w:t xml:space="preserve"> </w:t>
            </w:r>
            <w:r w:rsidR="00E873AE" w:rsidRPr="00E873AE">
              <w:t xml:space="preserve">as amended by the </w:t>
            </w:r>
            <w:r w:rsidR="00E873AE" w:rsidRPr="003C78E5">
              <w:rPr>
                <w:rStyle w:val="Italics"/>
              </w:rPr>
              <w:t>Environment Protection Amendment Act 2018</w:t>
            </w:r>
            <w:r w:rsidR="00E873AE" w:rsidRPr="00E873AE">
              <w:t xml:space="preserve"> (Vic)</w:t>
            </w:r>
            <w:r w:rsidR="00E873AE">
              <w:t xml:space="preserve"> </w:t>
            </w:r>
            <w:r w:rsidR="00E873AE" w:rsidRPr="00E873AE">
              <w:t>commenc</w:t>
            </w:r>
            <w:r w:rsidR="00E873AE">
              <w:t>ing</w:t>
            </w:r>
            <w:r w:rsidR="00E873AE" w:rsidRPr="00E873AE">
              <w:t xml:space="preserve"> on 1 July 2021</w:t>
            </w:r>
            <w:r w:rsidR="00E873AE">
              <w:t>)</w:t>
            </w:r>
          </w:p>
        </w:tc>
        <w:tc>
          <w:tcPr>
            <w:tcW w:w="2828" w:type="dxa"/>
          </w:tcPr>
          <w:p w14:paraId="29B3937F" w14:textId="77777777"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rsidRPr="00547D6A">
              <w:t xml:space="preserve">Chapter 2 </w:t>
            </w:r>
            <w:r w:rsidRPr="004B26EA">
              <w:rPr>
                <w:rStyle w:val="Italics"/>
              </w:rPr>
              <w:t>Project rationale</w:t>
            </w:r>
          </w:p>
          <w:p w14:paraId="1B593026" w14:textId="77777777" w:rsidR="00A3192C" w:rsidRPr="00D36F04" w:rsidRDefault="00A3192C" w:rsidP="00A3192C">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sidRPr="00547D6A">
              <w:t xml:space="preserve">Chapter 4 </w:t>
            </w:r>
            <w:r w:rsidRPr="004B26EA">
              <w:rPr>
                <w:rStyle w:val="Italics"/>
              </w:rPr>
              <w:t>Project description</w:t>
            </w:r>
          </w:p>
          <w:p w14:paraId="2C611231" w14:textId="77777777" w:rsidR="00BD1103" w:rsidRPr="00D36F04" w:rsidRDefault="00BD1103" w:rsidP="00A3192C">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sidRPr="00D36F04">
              <w:rPr>
                <w:rStyle w:val="Removedirectformatting"/>
              </w:rPr>
              <w:t>Chapter 17</w:t>
            </w:r>
            <w:r>
              <w:rPr>
                <w:rStyle w:val="Italics"/>
              </w:rPr>
              <w:t xml:space="preserve"> Safety</w:t>
            </w:r>
          </w:p>
          <w:p w14:paraId="0E1511EF" w14:textId="3388CE55" w:rsidR="00A3192C" w:rsidRPr="00A3192C" w:rsidRDefault="001A6197" w:rsidP="00A3192C">
            <w:pPr>
              <w:pStyle w:val="TableText"/>
              <w:cnfStyle w:val="000000000000" w:firstRow="0" w:lastRow="0" w:firstColumn="0" w:lastColumn="0" w:oddVBand="0" w:evenVBand="0" w:oddHBand="0" w:evenHBand="0" w:firstRowFirstColumn="0" w:firstRowLastColumn="0" w:lastRowFirstColumn="0" w:lastRowLastColumn="0"/>
            </w:pPr>
            <w:r w:rsidRPr="001A6197">
              <w:t xml:space="preserve">Technical report </w:t>
            </w:r>
            <w:r>
              <w:t>M</w:t>
            </w:r>
            <w:r w:rsidRPr="001A6197">
              <w:t xml:space="preserve"> </w:t>
            </w:r>
            <w:r>
              <w:rPr>
                <w:rStyle w:val="Italics"/>
              </w:rPr>
              <w:t>Safety</w:t>
            </w:r>
          </w:p>
        </w:tc>
      </w:tr>
      <w:tr w:rsidR="00A3192C" w14:paraId="766DDD2F" w14:textId="77777777" w:rsidTr="00CB4637">
        <w:trPr>
          <w:cantSplit/>
        </w:trPr>
        <w:tc>
          <w:tcPr>
            <w:cnfStyle w:val="001000000000" w:firstRow="0" w:lastRow="0" w:firstColumn="1" w:lastColumn="0" w:oddVBand="0" w:evenVBand="0" w:oddHBand="0" w:evenHBand="0" w:firstRowFirstColumn="0" w:firstRowLastColumn="0" w:lastRowFirstColumn="0" w:lastRowLastColumn="0"/>
            <w:tcW w:w="2547" w:type="dxa"/>
          </w:tcPr>
          <w:p w14:paraId="2F453568" w14:textId="721CD80B" w:rsidR="00A3192C" w:rsidRPr="00547D6A" w:rsidRDefault="00A3192C" w:rsidP="00A3192C">
            <w:pPr>
              <w:pStyle w:val="TableText"/>
            </w:pPr>
            <w:r w:rsidRPr="00547D6A">
              <w:t>Biodiversity and habitats</w:t>
            </w:r>
          </w:p>
          <w:p w14:paraId="7B563DE8" w14:textId="059D23A9" w:rsidR="00A3192C" w:rsidRPr="00A3192C" w:rsidRDefault="00A3192C" w:rsidP="00A3192C">
            <w:pPr>
              <w:pStyle w:val="TableText"/>
            </w:pPr>
            <w:r>
              <w:t>Avoid and minimise potential</w:t>
            </w:r>
            <w:r w:rsidRPr="00A3192C">
              <w:t xml:space="preserve"> adverse effects on native vegetation, listed threatened and migratory species and ecological communities, and habitat for these species, as well as restore and offset residual environmental effects consistent with state and Commonwealth policies</w:t>
            </w:r>
          </w:p>
        </w:tc>
        <w:tc>
          <w:tcPr>
            <w:tcW w:w="3685" w:type="dxa"/>
          </w:tcPr>
          <w:p w14:paraId="6DD210C6" w14:textId="77777777"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rsidRPr="004B26EA">
              <w:rPr>
                <w:rStyle w:val="Italics"/>
              </w:rPr>
              <w:t xml:space="preserve">Flora and Fauna Guarantee Act 1988 </w:t>
            </w:r>
            <w:r w:rsidRPr="00547D6A">
              <w:t>(Vic)</w:t>
            </w:r>
          </w:p>
          <w:p w14:paraId="2EDA80C7" w14:textId="77777777"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rsidRPr="004B26EA">
              <w:rPr>
                <w:rStyle w:val="Italics"/>
              </w:rPr>
              <w:t>Wildlife Act 1975</w:t>
            </w:r>
            <w:r w:rsidRPr="00547D6A">
              <w:t xml:space="preserve"> (Vic)</w:t>
            </w:r>
          </w:p>
          <w:p w14:paraId="0F8B2E15" w14:textId="77777777"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rsidRPr="004B26EA">
              <w:rPr>
                <w:rStyle w:val="Italics"/>
              </w:rPr>
              <w:t>Catchment and Land Protection Act 1994</w:t>
            </w:r>
            <w:r w:rsidRPr="00547D6A">
              <w:t xml:space="preserve"> (Vic)</w:t>
            </w:r>
          </w:p>
          <w:p w14:paraId="6973A2A9" w14:textId="51C97862" w:rsidR="00A3192C" w:rsidRPr="004B26EA" w:rsidRDefault="00A3192C" w:rsidP="00A3192C">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4B26EA">
              <w:rPr>
                <w:rStyle w:val="Italics"/>
              </w:rPr>
              <w:t xml:space="preserve">Planning and Environment Act 1987 </w:t>
            </w:r>
            <w:r w:rsidRPr="00547D6A">
              <w:t>(Vic)</w:t>
            </w:r>
            <w:r w:rsidR="00065CBE">
              <w:rPr>
                <w:rStyle w:val="FootnoteReference"/>
              </w:rPr>
              <w:footnoteReference w:id="3"/>
            </w:r>
          </w:p>
          <w:p w14:paraId="14340EBB" w14:textId="77777777" w:rsidR="00A3192C" w:rsidRPr="004B26EA" w:rsidRDefault="00A3192C" w:rsidP="00122664">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4B26EA">
              <w:rPr>
                <w:rStyle w:val="Italics"/>
              </w:rPr>
              <w:t xml:space="preserve">Environment Protection and Biodiversity Conservation Act 1999 </w:t>
            </w:r>
            <w:r w:rsidRPr="00547D6A">
              <w:t>(</w:t>
            </w:r>
            <w:proofErr w:type="spellStart"/>
            <w:r w:rsidRPr="00547D6A">
              <w:t>Cth</w:t>
            </w:r>
            <w:proofErr w:type="spellEnd"/>
            <w:r w:rsidRPr="00547D6A">
              <w:t>)</w:t>
            </w:r>
          </w:p>
          <w:p w14:paraId="1E4DDFBB" w14:textId="59A962A8" w:rsidR="00A3192C" w:rsidRDefault="00A3192C" w:rsidP="00A3192C">
            <w:pPr>
              <w:pStyle w:val="TableText"/>
              <w:cnfStyle w:val="000000000000" w:firstRow="0" w:lastRow="0" w:firstColumn="0" w:lastColumn="0" w:oddVBand="0" w:evenVBand="0" w:oddHBand="0" w:evenHBand="0" w:firstRowFirstColumn="0" w:firstRowLastColumn="0" w:lastRowFirstColumn="0" w:lastRowLastColumn="0"/>
            </w:pPr>
            <w:r w:rsidRPr="004B26EA">
              <w:rPr>
                <w:rStyle w:val="Italics"/>
              </w:rPr>
              <w:t xml:space="preserve">Pipelines Act 2005 </w:t>
            </w:r>
            <w:r>
              <w:t>(Vic)</w:t>
            </w:r>
          </w:p>
          <w:p w14:paraId="3691F042" w14:textId="09B04201" w:rsidR="00E96463" w:rsidRDefault="00E96463" w:rsidP="00A3192C">
            <w:pPr>
              <w:pStyle w:val="TableText"/>
              <w:cnfStyle w:val="000000000000" w:firstRow="0" w:lastRow="0" w:firstColumn="0" w:lastColumn="0" w:oddVBand="0" w:evenVBand="0" w:oddHBand="0" w:evenHBand="0" w:firstRowFirstColumn="0" w:firstRowLastColumn="0" w:lastRowFirstColumn="0" w:lastRowLastColumn="0"/>
            </w:pPr>
            <w:r w:rsidRPr="00672453">
              <w:rPr>
                <w:rStyle w:val="Italics"/>
              </w:rPr>
              <w:t>Melbourne Strategic Assessment (Environment Mitigation Levy) Act 2020</w:t>
            </w:r>
            <w:r w:rsidR="00CB4637">
              <w:rPr>
                <w:rStyle w:val="Italics"/>
              </w:rPr>
              <w:t> </w:t>
            </w:r>
            <w:r>
              <w:t>(Vic)</w:t>
            </w:r>
          </w:p>
        </w:tc>
        <w:tc>
          <w:tcPr>
            <w:tcW w:w="2828" w:type="dxa"/>
          </w:tcPr>
          <w:p w14:paraId="414AE40D" w14:textId="3BABD374" w:rsidR="00A3192C" w:rsidRPr="00D36F04" w:rsidRDefault="00A3192C" w:rsidP="00A3192C">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t xml:space="preserve">Chapter </w:t>
            </w:r>
            <w:r w:rsidRPr="00547D6A">
              <w:t xml:space="preserve">7 </w:t>
            </w:r>
            <w:r w:rsidRPr="004B26EA">
              <w:rPr>
                <w:rStyle w:val="Italics"/>
              </w:rPr>
              <w:t>Biodiversity</w:t>
            </w:r>
            <w:r w:rsidR="00C57F88">
              <w:rPr>
                <w:rStyle w:val="Italics"/>
              </w:rPr>
              <w:t xml:space="preserve"> and</w:t>
            </w:r>
            <w:r w:rsidR="00CB4637">
              <w:rPr>
                <w:rStyle w:val="Italics"/>
              </w:rPr>
              <w:t> </w:t>
            </w:r>
            <w:r w:rsidR="00C57F88">
              <w:rPr>
                <w:rStyle w:val="Italics"/>
              </w:rPr>
              <w:t>habitats</w:t>
            </w:r>
          </w:p>
          <w:p w14:paraId="66C0D653" w14:textId="400CF630" w:rsidR="00BD1103" w:rsidRPr="00547D6A" w:rsidRDefault="00BD1103" w:rsidP="00A3192C">
            <w:pPr>
              <w:pStyle w:val="TableText"/>
              <w:cnfStyle w:val="000000000000" w:firstRow="0" w:lastRow="0" w:firstColumn="0" w:lastColumn="0" w:oddVBand="0" w:evenVBand="0" w:oddHBand="0" w:evenHBand="0" w:firstRowFirstColumn="0" w:firstRowLastColumn="0" w:lastRowFirstColumn="0" w:lastRowLastColumn="0"/>
            </w:pPr>
            <w:r w:rsidRPr="00D36F04">
              <w:rPr>
                <w:rStyle w:val="Removedirectformatting"/>
              </w:rPr>
              <w:t>Chapter 18</w:t>
            </w:r>
            <w:r>
              <w:rPr>
                <w:rStyle w:val="Italics"/>
              </w:rPr>
              <w:t xml:space="preserve"> Matters of National Environmental Significance</w:t>
            </w:r>
          </w:p>
          <w:p w14:paraId="17BADAF0" w14:textId="65BEB25B" w:rsidR="00A3192C" w:rsidRPr="00A3192C" w:rsidRDefault="00A3192C" w:rsidP="00A3192C">
            <w:pPr>
              <w:pStyle w:val="TableText"/>
              <w:cnfStyle w:val="000000000000" w:firstRow="0" w:lastRow="0" w:firstColumn="0" w:lastColumn="0" w:oddVBand="0" w:evenVBand="0" w:oddHBand="0" w:evenHBand="0" w:firstRowFirstColumn="0" w:firstRowLastColumn="0" w:lastRowFirstColumn="0" w:lastRowLastColumn="0"/>
            </w:pPr>
            <w:r>
              <w:t xml:space="preserve">Technical report </w:t>
            </w:r>
            <w:r w:rsidRPr="00A3192C">
              <w:t xml:space="preserve">A </w:t>
            </w:r>
            <w:r w:rsidRPr="004B26EA">
              <w:rPr>
                <w:rStyle w:val="Italics"/>
              </w:rPr>
              <w:t>Biodiversity</w:t>
            </w:r>
            <w:r w:rsidRPr="00A3192C">
              <w:t xml:space="preserve"> </w:t>
            </w:r>
            <w:r w:rsidR="00CC7644" w:rsidRPr="00D36F04">
              <w:rPr>
                <w:rStyle w:val="Italics"/>
              </w:rPr>
              <w:t>and habitats</w:t>
            </w:r>
          </w:p>
        </w:tc>
      </w:tr>
      <w:tr w:rsidR="00A3192C" w14:paraId="7ABD08D4" w14:textId="77777777" w:rsidTr="00CB4637">
        <w:trPr>
          <w:cantSplit/>
        </w:trPr>
        <w:tc>
          <w:tcPr>
            <w:cnfStyle w:val="001000000000" w:firstRow="0" w:lastRow="0" w:firstColumn="1" w:lastColumn="0" w:oddVBand="0" w:evenVBand="0" w:oddHBand="0" w:evenHBand="0" w:firstRowFirstColumn="0" w:firstRowLastColumn="0" w:lastRowFirstColumn="0" w:lastRowLastColumn="0"/>
            <w:tcW w:w="2547" w:type="dxa"/>
          </w:tcPr>
          <w:p w14:paraId="4A0B7B95" w14:textId="77777777" w:rsidR="00A3192C" w:rsidRPr="00547D6A" w:rsidRDefault="00A3192C" w:rsidP="00A3192C">
            <w:pPr>
              <w:pStyle w:val="TableText"/>
            </w:pPr>
            <w:r w:rsidRPr="00547D6A">
              <w:lastRenderedPageBreak/>
              <w:t>Water and catchment values</w:t>
            </w:r>
          </w:p>
          <w:p w14:paraId="6FCB5686" w14:textId="65DE9FB0" w:rsidR="00A3192C" w:rsidRPr="00A3192C" w:rsidRDefault="00A3192C" w:rsidP="00A3192C">
            <w:pPr>
              <w:pStyle w:val="TableText"/>
            </w:pPr>
            <w:r w:rsidRPr="000D30FA">
              <w:t>Maintain the functions and values of groundwater, surface water and floodplain environments and minimise</w:t>
            </w:r>
            <w:r w:rsidRPr="00A3192C">
              <w:t xml:space="preserve"> effects on water quality and beneficial uses</w:t>
            </w:r>
          </w:p>
        </w:tc>
        <w:tc>
          <w:tcPr>
            <w:tcW w:w="3685" w:type="dxa"/>
          </w:tcPr>
          <w:p w14:paraId="6D37681D" w14:textId="77777777" w:rsidR="00122664" w:rsidRPr="00122664" w:rsidRDefault="00122664" w:rsidP="00122664">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122664">
              <w:rPr>
                <w:rStyle w:val="Italics"/>
              </w:rPr>
              <w:t>Environment Protection and Biodiversity Conservation Act 1999</w:t>
            </w:r>
            <w:r w:rsidRPr="00122664">
              <w:t xml:space="preserve"> (</w:t>
            </w:r>
            <w:proofErr w:type="spellStart"/>
            <w:r w:rsidRPr="00122664">
              <w:t>Cth</w:t>
            </w:r>
            <w:proofErr w:type="spellEnd"/>
            <w:r w:rsidRPr="00122664">
              <w:t xml:space="preserve">) </w:t>
            </w:r>
          </w:p>
          <w:p w14:paraId="07ABBD10" w14:textId="06E32657" w:rsidR="00E873AE" w:rsidRPr="003C78E5" w:rsidRDefault="00E873AE" w:rsidP="00122664">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sidRPr="00E873AE">
              <w:rPr>
                <w:rStyle w:val="Italics"/>
              </w:rPr>
              <w:t xml:space="preserve">Environment Protection Act 1970 </w:t>
            </w:r>
            <w:r w:rsidRPr="00E873AE">
              <w:rPr>
                <w:rStyle w:val="Removedirectformatting"/>
              </w:rPr>
              <w:t>(Vic) (</w:t>
            </w:r>
            <w:r w:rsidRPr="00E873AE">
              <w:rPr>
                <w:rStyle w:val="Italics"/>
              </w:rPr>
              <w:t>Environment Protection Act 2017</w:t>
            </w:r>
            <w:r w:rsidRPr="00E873AE">
              <w:t xml:space="preserve"> (Vic) as amended by the </w:t>
            </w:r>
            <w:r w:rsidRPr="00E873AE">
              <w:rPr>
                <w:rStyle w:val="Italics"/>
              </w:rPr>
              <w:t>Environment Protection Amendment Act 2018</w:t>
            </w:r>
            <w:r w:rsidRPr="00E873AE">
              <w:t xml:space="preserve"> (Vic) commencing on 1 July 2021)</w:t>
            </w:r>
          </w:p>
          <w:p w14:paraId="44643DAF" w14:textId="63EC9F64" w:rsidR="00122664" w:rsidRPr="00736BF5" w:rsidRDefault="00122664" w:rsidP="00122664">
            <w:pPr>
              <w:pStyle w:val="TableText"/>
              <w:cnfStyle w:val="000000000000" w:firstRow="0" w:lastRow="0" w:firstColumn="0" w:lastColumn="0" w:oddVBand="0" w:evenVBand="0" w:oddHBand="0" w:evenHBand="0" w:firstRowFirstColumn="0" w:firstRowLastColumn="0" w:lastRowFirstColumn="0" w:lastRowLastColumn="0"/>
            </w:pPr>
            <w:r w:rsidRPr="00122664">
              <w:rPr>
                <w:rStyle w:val="Italics"/>
              </w:rPr>
              <w:t xml:space="preserve">Water Act 1989 </w:t>
            </w:r>
            <w:r w:rsidRPr="00736BF5">
              <w:t xml:space="preserve">(Vic) </w:t>
            </w:r>
          </w:p>
          <w:p w14:paraId="549F2C74" w14:textId="1C1DC266" w:rsidR="00122664" w:rsidRPr="00122664" w:rsidRDefault="00122664" w:rsidP="00122664">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122664">
              <w:rPr>
                <w:rStyle w:val="Italics"/>
              </w:rPr>
              <w:t>Catchment and Land Protection Act 1994</w:t>
            </w:r>
            <w:r w:rsidR="00CB4637">
              <w:t> </w:t>
            </w:r>
            <w:r w:rsidRPr="00736BF5">
              <w:t xml:space="preserve">(Vic) </w:t>
            </w:r>
          </w:p>
          <w:p w14:paraId="79794730" w14:textId="77777777" w:rsidR="00122664" w:rsidRPr="00736BF5" w:rsidRDefault="00122664" w:rsidP="00122664">
            <w:pPr>
              <w:pStyle w:val="TableText"/>
              <w:cnfStyle w:val="000000000000" w:firstRow="0" w:lastRow="0" w:firstColumn="0" w:lastColumn="0" w:oddVBand="0" w:evenVBand="0" w:oddHBand="0" w:evenHBand="0" w:firstRowFirstColumn="0" w:firstRowLastColumn="0" w:lastRowFirstColumn="0" w:lastRowLastColumn="0"/>
            </w:pPr>
            <w:r w:rsidRPr="00122664">
              <w:rPr>
                <w:rStyle w:val="Italics"/>
              </w:rPr>
              <w:t>Pipelines Act 2005</w:t>
            </w:r>
            <w:r w:rsidRPr="00736BF5">
              <w:t xml:space="preserve"> (Vic) </w:t>
            </w:r>
          </w:p>
          <w:p w14:paraId="3CACEF9A" w14:textId="77777777" w:rsidR="00122664" w:rsidRPr="00122664" w:rsidRDefault="00122664" w:rsidP="00122664">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122664">
              <w:rPr>
                <w:rStyle w:val="Italics"/>
              </w:rPr>
              <w:t xml:space="preserve">Flora and Fauna Guarantee Act 1988 </w:t>
            </w:r>
            <w:r w:rsidRPr="00736BF5">
              <w:t xml:space="preserve">(Vic) </w:t>
            </w:r>
          </w:p>
          <w:p w14:paraId="5170C7D4" w14:textId="77777777" w:rsidR="00122664" w:rsidRPr="00122664" w:rsidRDefault="00122664" w:rsidP="00122664">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122664">
              <w:rPr>
                <w:rStyle w:val="Italics"/>
              </w:rPr>
              <w:t>Fisheries Act 1995</w:t>
            </w:r>
            <w:r w:rsidRPr="00736BF5">
              <w:t xml:space="preserve"> (Vic) </w:t>
            </w:r>
          </w:p>
          <w:p w14:paraId="6EAEE488" w14:textId="77777777" w:rsidR="00122664" w:rsidRPr="00122664" w:rsidRDefault="00122664" w:rsidP="00122664">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122664">
              <w:rPr>
                <w:rStyle w:val="Italics"/>
              </w:rPr>
              <w:t xml:space="preserve">National Parks Act 1975 </w:t>
            </w:r>
            <w:r w:rsidRPr="00736BF5">
              <w:t>(</w:t>
            </w:r>
            <w:proofErr w:type="spellStart"/>
            <w:r w:rsidRPr="00736BF5">
              <w:t>Cth</w:t>
            </w:r>
            <w:proofErr w:type="spellEnd"/>
            <w:r w:rsidRPr="00736BF5">
              <w:t xml:space="preserve">) </w:t>
            </w:r>
          </w:p>
          <w:p w14:paraId="66C335A8" w14:textId="4682316A" w:rsidR="00A3192C" w:rsidRDefault="00122664" w:rsidP="00122664">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122664">
              <w:rPr>
                <w:rStyle w:val="Italics"/>
              </w:rPr>
              <w:t xml:space="preserve">Crown Land (Reserves) Act </w:t>
            </w:r>
            <w:r w:rsidRPr="00736BF5">
              <w:t>1978 (Vic)</w:t>
            </w:r>
          </w:p>
        </w:tc>
        <w:tc>
          <w:tcPr>
            <w:tcW w:w="2828" w:type="dxa"/>
          </w:tcPr>
          <w:p w14:paraId="55493BC6" w14:textId="7E201E77"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t xml:space="preserve">Chapter </w:t>
            </w:r>
            <w:r w:rsidRPr="00547D6A">
              <w:t xml:space="preserve">8 </w:t>
            </w:r>
            <w:r w:rsidRPr="00122664">
              <w:rPr>
                <w:rStyle w:val="Italics"/>
              </w:rPr>
              <w:t>Water</w:t>
            </w:r>
            <w:r w:rsidR="00C57F88">
              <w:rPr>
                <w:rStyle w:val="Italics"/>
              </w:rPr>
              <w:t xml:space="preserve"> (surface water and groundwater)</w:t>
            </w:r>
          </w:p>
          <w:p w14:paraId="4E99171A" w14:textId="76918666" w:rsidR="00D25975" w:rsidRDefault="00D25975" w:rsidP="00A3192C">
            <w:pPr>
              <w:pStyle w:val="TableText"/>
              <w:cnfStyle w:val="000000000000" w:firstRow="0" w:lastRow="0" w:firstColumn="0" w:lastColumn="0" w:oddVBand="0" w:evenVBand="0" w:oddHBand="0" w:evenHBand="0" w:firstRowFirstColumn="0" w:firstRowLastColumn="0" w:lastRowFirstColumn="0" w:lastRowLastColumn="0"/>
            </w:pPr>
            <w:r>
              <w:t xml:space="preserve">Chapter 9 </w:t>
            </w:r>
            <w:r w:rsidR="00CC7644">
              <w:rPr>
                <w:rStyle w:val="Italics"/>
              </w:rPr>
              <w:t>Land stability and ground movement</w:t>
            </w:r>
          </w:p>
          <w:p w14:paraId="794AF100" w14:textId="319CD4BD" w:rsidR="00A3192C" w:rsidRDefault="00A3192C" w:rsidP="00A3192C">
            <w:pPr>
              <w:pStyle w:val="TableText"/>
              <w:cnfStyle w:val="000000000000" w:firstRow="0" w:lastRow="0" w:firstColumn="0" w:lastColumn="0" w:oddVBand="0" w:evenVBand="0" w:oddHBand="0" w:evenHBand="0" w:firstRowFirstColumn="0" w:firstRowLastColumn="0" w:lastRowFirstColumn="0" w:lastRowLastColumn="0"/>
            </w:pPr>
            <w:r>
              <w:t xml:space="preserve">Technical report </w:t>
            </w:r>
            <w:r w:rsidRPr="00A3192C">
              <w:t xml:space="preserve">B </w:t>
            </w:r>
            <w:r w:rsidR="00CC7644" w:rsidRPr="00D36F04">
              <w:rPr>
                <w:rStyle w:val="Italics"/>
              </w:rPr>
              <w:t>Surface</w:t>
            </w:r>
            <w:r w:rsidR="00CB4637">
              <w:rPr>
                <w:rStyle w:val="Italics"/>
              </w:rPr>
              <w:t> </w:t>
            </w:r>
            <w:r w:rsidR="00CC7644">
              <w:rPr>
                <w:rStyle w:val="Italics"/>
              </w:rPr>
              <w:t>w</w:t>
            </w:r>
            <w:r w:rsidRPr="00122664">
              <w:rPr>
                <w:rStyle w:val="Italics"/>
              </w:rPr>
              <w:t>ater</w:t>
            </w:r>
            <w:r w:rsidRPr="00A3192C">
              <w:t xml:space="preserve"> </w:t>
            </w:r>
          </w:p>
          <w:p w14:paraId="19C7401A" w14:textId="305DFB9E" w:rsidR="00CC7644" w:rsidRDefault="00D25975" w:rsidP="00A3192C">
            <w:pPr>
              <w:pStyle w:val="TableText"/>
              <w:cnfStyle w:val="000000000000" w:firstRow="0" w:lastRow="0" w:firstColumn="0" w:lastColumn="0" w:oddVBand="0" w:evenVBand="0" w:oddHBand="0" w:evenHBand="0" w:firstRowFirstColumn="0" w:firstRowLastColumn="0" w:lastRowFirstColumn="0" w:lastRowLastColumn="0"/>
            </w:pPr>
            <w:r>
              <w:t xml:space="preserve">Technical report C </w:t>
            </w:r>
            <w:r w:rsidR="00CC7644" w:rsidRPr="00D36F04">
              <w:rPr>
                <w:rStyle w:val="Italics"/>
              </w:rPr>
              <w:t>Groundwater</w:t>
            </w:r>
          </w:p>
          <w:p w14:paraId="69EE6C48" w14:textId="113CBF3A" w:rsidR="00D25975" w:rsidRPr="00A3192C" w:rsidRDefault="00D25975" w:rsidP="00CB4637">
            <w:pPr>
              <w:pStyle w:val="TableText"/>
              <w:cnfStyle w:val="000000000000" w:firstRow="0" w:lastRow="0" w:firstColumn="0" w:lastColumn="0" w:oddVBand="0" w:evenVBand="0" w:oddHBand="0" w:evenHBand="0" w:firstRowFirstColumn="0" w:firstRowLastColumn="0" w:lastRowFirstColumn="0" w:lastRowLastColumn="0"/>
            </w:pPr>
            <w:r>
              <w:t xml:space="preserve">Technical report </w:t>
            </w:r>
            <w:r w:rsidR="00CC7644">
              <w:t>D</w:t>
            </w:r>
            <w:r>
              <w:t xml:space="preserve"> </w:t>
            </w:r>
            <w:r w:rsidR="00CC7644">
              <w:rPr>
                <w:rStyle w:val="Italics"/>
              </w:rPr>
              <w:t>Land stability and ground movement</w:t>
            </w:r>
          </w:p>
        </w:tc>
      </w:tr>
      <w:tr w:rsidR="00A3192C" w14:paraId="44B7B0E0" w14:textId="77777777" w:rsidTr="00CB4637">
        <w:trPr>
          <w:cantSplit/>
        </w:trPr>
        <w:tc>
          <w:tcPr>
            <w:cnfStyle w:val="001000000000" w:firstRow="0" w:lastRow="0" w:firstColumn="1" w:lastColumn="0" w:oddVBand="0" w:evenVBand="0" w:oddHBand="0" w:evenHBand="0" w:firstRowFirstColumn="0" w:firstRowLastColumn="0" w:lastRowFirstColumn="0" w:lastRowLastColumn="0"/>
            <w:tcW w:w="2547" w:type="dxa"/>
          </w:tcPr>
          <w:p w14:paraId="546C069E" w14:textId="77777777" w:rsidR="00A3192C" w:rsidRPr="00547D6A" w:rsidRDefault="00A3192C" w:rsidP="00A3192C">
            <w:pPr>
              <w:pStyle w:val="TableText"/>
            </w:pPr>
            <w:r w:rsidRPr="00547D6A">
              <w:t>Cultural heritage</w:t>
            </w:r>
          </w:p>
          <w:p w14:paraId="4108A4D4" w14:textId="5E6AD161" w:rsidR="00A3192C" w:rsidRPr="00A3192C" w:rsidRDefault="00A3192C" w:rsidP="00A3192C">
            <w:pPr>
              <w:pStyle w:val="TableText"/>
            </w:pPr>
            <w:r w:rsidRPr="00955CBD">
              <w:t>Avoid, or minimise where avoidance is not possible, adverse effects on Aboriginal and historic cultural</w:t>
            </w:r>
            <w:r w:rsidRPr="00A3192C">
              <w:t xml:space="preserve"> heritage values</w:t>
            </w:r>
          </w:p>
        </w:tc>
        <w:tc>
          <w:tcPr>
            <w:tcW w:w="3685" w:type="dxa"/>
          </w:tcPr>
          <w:p w14:paraId="69331958" w14:textId="77777777"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rsidRPr="00122664">
              <w:rPr>
                <w:rStyle w:val="Italics"/>
              </w:rPr>
              <w:t>Aboriginal Heritage Act 2006</w:t>
            </w:r>
            <w:r w:rsidRPr="00547D6A">
              <w:t xml:space="preserve"> (Vic)</w:t>
            </w:r>
          </w:p>
          <w:p w14:paraId="7D6DB8A0" w14:textId="77777777" w:rsidR="00A3192C" w:rsidRDefault="00A3192C" w:rsidP="00D22763">
            <w:pPr>
              <w:pStyle w:val="TableText"/>
              <w:cnfStyle w:val="000000000000" w:firstRow="0" w:lastRow="0" w:firstColumn="0" w:lastColumn="0" w:oddVBand="0" w:evenVBand="0" w:oddHBand="0" w:evenHBand="0" w:firstRowFirstColumn="0" w:firstRowLastColumn="0" w:lastRowFirstColumn="0" w:lastRowLastColumn="0"/>
            </w:pPr>
            <w:r w:rsidRPr="00122664">
              <w:rPr>
                <w:rStyle w:val="Italics"/>
              </w:rPr>
              <w:t xml:space="preserve">Heritage Act </w:t>
            </w:r>
            <w:r w:rsidR="00D22763">
              <w:rPr>
                <w:rStyle w:val="Italics"/>
              </w:rPr>
              <w:t>2017</w:t>
            </w:r>
            <w:r w:rsidR="00D22763" w:rsidRPr="00547D6A">
              <w:t xml:space="preserve"> </w:t>
            </w:r>
            <w:r w:rsidRPr="00547D6A">
              <w:t>(Vic)</w:t>
            </w:r>
          </w:p>
          <w:p w14:paraId="03A81D94" w14:textId="16D27125" w:rsidR="00A80C01" w:rsidRPr="00A3192C" w:rsidRDefault="00A80C01" w:rsidP="00CB4637">
            <w:pPr>
              <w:pStyle w:val="TableText"/>
              <w:cnfStyle w:val="000000000000" w:firstRow="0" w:lastRow="0" w:firstColumn="0" w:lastColumn="0" w:oddVBand="0" w:evenVBand="0" w:oddHBand="0" w:evenHBand="0" w:firstRowFirstColumn="0" w:firstRowLastColumn="0" w:lastRowFirstColumn="0" w:lastRowLastColumn="0"/>
            </w:pPr>
            <w:r w:rsidRPr="004B26EA">
              <w:rPr>
                <w:rStyle w:val="Italics"/>
              </w:rPr>
              <w:t xml:space="preserve">Pipelines Act 2005 </w:t>
            </w:r>
            <w:r w:rsidRPr="00A80C01">
              <w:t>(Vic)</w:t>
            </w:r>
          </w:p>
        </w:tc>
        <w:tc>
          <w:tcPr>
            <w:tcW w:w="2828" w:type="dxa"/>
          </w:tcPr>
          <w:p w14:paraId="3159A0A1" w14:textId="6883F518"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t xml:space="preserve">Chapter </w:t>
            </w:r>
            <w:r w:rsidRPr="00547D6A">
              <w:t xml:space="preserve">13 </w:t>
            </w:r>
            <w:r w:rsidR="00CC7644">
              <w:rPr>
                <w:rStyle w:val="Italics"/>
              </w:rPr>
              <w:t>Cultural h</w:t>
            </w:r>
            <w:r w:rsidRPr="00122664">
              <w:rPr>
                <w:rStyle w:val="Italics"/>
              </w:rPr>
              <w:t>eritage</w:t>
            </w:r>
          </w:p>
          <w:p w14:paraId="638371F5" w14:textId="025821AC" w:rsidR="00A3192C" w:rsidRPr="00A3192C" w:rsidRDefault="00A3192C" w:rsidP="00A3192C">
            <w:pPr>
              <w:pStyle w:val="TableText"/>
              <w:cnfStyle w:val="000000000000" w:firstRow="0" w:lastRow="0" w:firstColumn="0" w:lastColumn="0" w:oddVBand="0" w:evenVBand="0" w:oddHBand="0" w:evenHBand="0" w:firstRowFirstColumn="0" w:firstRowLastColumn="0" w:lastRowFirstColumn="0" w:lastRowLastColumn="0"/>
            </w:pPr>
            <w:r>
              <w:t xml:space="preserve">Technical report </w:t>
            </w:r>
            <w:r w:rsidR="00CC7644">
              <w:t xml:space="preserve">I </w:t>
            </w:r>
            <w:r w:rsidR="00CC7644" w:rsidRPr="00D36F04">
              <w:rPr>
                <w:rStyle w:val="Italics"/>
              </w:rPr>
              <w:t>Cultural</w:t>
            </w:r>
            <w:r w:rsidR="00CB4637">
              <w:rPr>
                <w:rStyle w:val="Italics"/>
              </w:rPr>
              <w:t> </w:t>
            </w:r>
            <w:r w:rsidR="00CC7644">
              <w:rPr>
                <w:rStyle w:val="Italics"/>
              </w:rPr>
              <w:t>h</w:t>
            </w:r>
            <w:r w:rsidRPr="00D25975">
              <w:rPr>
                <w:rStyle w:val="Italics"/>
              </w:rPr>
              <w:t>eritage</w:t>
            </w:r>
          </w:p>
        </w:tc>
      </w:tr>
      <w:tr w:rsidR="00A3192C" w14:paraId="1553C3C5" w14:textId="77777777" w:rsidTr="00CB4637">
        <w:trPr>
          <w:cantSplit/>
        </w:trPr>
        <w:tc>
          <w:tcPr>
            <w:cnfStyle w:val="001000000000" w:firstRow="0" w:lastRow="0" w:firstColumn="1" w:lastColumn="0" w:oddVBand="0" w:evenVBand="0" w:oddHBand="0" w:evenHBand="0" w:firstRowFirstColumn="0" w:firstRowLastColumn="0" w:lastRowFirstColumn="0" w:lastRowLastColumn="0"/>
            <w:tcW w:w="2547" w:type="dxa"/>
          </w:tcPr>
          <w:p w14:paraId="40286E6B" w14:textId="77777777" w:rsidR="00A3192C" w:rsidRPr="00547D6A" w:rsidRDefault="00A3192C" w:rsidP="00A3192C">
            <w:pPr>
              <w:pStyle w:val="TableText"/>
            </w:pPr>
            <w:r w:rsidRPr="00547D6A">
              <w:t>Social, economic, amenity and land use</w:t>
            </w:r>
          </w:p>
          <w:p w14:paraId="5609584A" w14:textId="622B1D98" w:rsidR="00A3192C" w:rsidRPr="00A3192C" w:rsidRDefault="00A3192C" w:rsidP="00A3192C">
            <w:pPr>
              <w:pStyle w:val="TableText"/>
            </w:pPr>
            <w:r w:rsidRPr="0011678C">
              <w:t>Minimise potential adverse social, economic, amenity and land use effects at local and regional scales</w:t>
            </w:r>
          </w:p>
        </w:tc>
        <w:tc>
          <w:tcPr>
            <w:tcW w:w="3685" w:type="dxa"/>
          </w:tcPr>
          <w:p w14:paraId="477EE79E" w14:textId="77777777" w:rsidR="00D22763" w:rsidRPr="00D22763" w:rsidRDefault="00D22763" w:rsidP="00D22763">
            <w:pPr>
              <w:pStyle w:val="TableText"/>
              <w:cnfStyle w:val="000000000000" w:firstRow="0" w:lastRow="0" w:firstColumn="0" w:lastColumn="0" w:oddVBand="0" w:evenVBand="0" w:oddHBand="0" w:evenHBand="0" w:firstRowFirstColumn="0" w:firstRowLastColumn="0" w:lastRowFirstColumn="0" w:lastRowLastColumn="0"/>
            </w:pPr>
            <w:r w:rsidRPr="00122664">
              <w:rPr>
                <w:rStyle w:val="Italics"/>
              </w:rPr>
              <w:t>Pipelines Act 2005</w:t>
            </w:r>
            <w:r w:rsidRPr="00D22763">
              <w:t xml:space="preserve"> (Vic) </w:t>
            </w:r>
          </w:p>
          <w:p w14:paraId="0A5FE1B2" w14:textId="56C5B7AC"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rsidRPr="004B26EA">
              <w:rPr>
                <w:rStyle w:val="Italics"/>
              </w:rPr>
              <w:t>Planning and Environment Act 1987</w:t>
            </w:r>
            <w:r w:rsidRPr="00547D6A">
              <w:t xml:space="preserve"> (Vic)</w:t>
            </w:r>
            <w:r w:rsidR="00065CBE">
              <w:rPr>
                <w:rStyle w:val="FootnoteReference"/>
              </w:rPr>
              <w:footnoteReference w:id="4"/>
            </w:r>
          </w:p>
          <w:p w14:paraId="1B6227DB" w14:textId="77777777"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rsidRPr="004B26EA">
              <w:rPr>
                <w:rStyle w:val="Italics"/>
              </w:rPr>
              <w:t>Transport Integration Act 2010</w:t>
            </w:r>
            <w:r w:rsidRPr="00547D6A">
              <w:t xml:space="preserve"> (Vic)</w:t>
            </w:r>
          </w:p>
          <w:p w14:paraId="1F9FCD42" w14:textId="77777777" w:rsidR="00A3192C" w:rsidRPr="004B26EA" w:rsidRDefault="00A3192C" w:rsidP="00A3192C">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4B26EA">
              <w:rPr>
                <w:rStyle w:val="Italics"/>
              </w:rPr>
              <w:t>Public Health and Wellbeing Act</w:t>
            </w:r>
          </w:p>
          <w:p w14:paraId="12D71B74" w14:textId="77777777" w:rsidR="00A3192C" w:rsidRDefault="00A3192C" w:rsidP="00A3192C">
            <w:pPr>
              <w:pStyle w:val="TableText"/>
              <w:cnfStyle w:val="000000000000" w:firstRow="0" w:lastRow="0" w:firstColumn="0" w:lastColumn="0" w:oddVBand="0" w:evenVBand="0" w:oddHBand="0" w:evenHBand="0" w:firstRowFirstColumn="0" w:firstRowLastColumn="0" w:lastRowFirstColumn="0" w:lastRowLastColumn="0"/>
            </w:pPr>
            <w:r w:rsidRPr="004B26EA">
              <w:rPr>
                <w:rStyle w:val="Italics"/>
              </w:rPr>
              <w:t>2008</w:t>
            </w:r>
            <w:r w:rsidRPr="00547D6A">
              <w:t xml:space="preserve"> (Vic) </w:t>
            </w:r>
          </w:p>
          <w:p w14:paraId="3F8D03B2" w14:textId="0EE6B6E9" w:rsidR="00A3192C" w:rsidRPr="00A3192C" w:rsidRDefault="00E873AE" w:rsidP="00A3192C">
            <w:pPr>
              <w:pStyle w:val="TableText"/>
              <w:cnfStyle w:val="000000000000" w:firstRow="0" w:lastRow="0" w:firstColumn="0" w:lastColumn="0" w:oddVBand="0" w:evenVBand="0" w:oddHBand="0" w:evenHBand="0" w:firstRowFirstColumn="0" w:firstRowLastColumn="0" w:lastRowFirstColumn="0" w:lastRowLastColumn="0"/>
            </w:pPr>
            <w:r w:rsidRPr="00E873AE">
              <w:rPr>
                <w:rStyle w:val="Italics"/>
              </w:rPr>
              <w:t xml:space="preserve">Environment Protection Act 1970 </w:t>
            </w:r>
            <w:r w:rsidRPr="00E873AE">
              <w:rPr>
                <w:rStyle w:val="Removedirectformatting"/>
              </w:rPr>
              <w:t>(Vic) (</w:t>
            </w:r>
            <w:r w:rsidRPr="00E873AE">
              <w:rPr>
                <w:rStyle w:val="Italics"/>
              </w:rPr>
              <w:t>Environment Protection Act 2017</w:t>
            </w:r>
            <w:r w:rsidRPr="00E873AE">
              <w:t xml:space="preserve"> (Vic) as amended by the </w:t>
            </w:r>
            <w:r w:rsidRPr="00E873AE">
              <w:rPr>
                <w:rStyle w:val="Italics"/>
              </w:rPr>
              <w:t>Environment Protection Amendment Act 2018</w:t>
            </w:r>
            <w:r w:rsidRPr="00E873AE">
              <w:t xml:space="preserve"> (Vic) commencing on 1 July 2021)</w:t>
            </w:r>
          </w:p>
        </w:tc>
        <w:tc>
          <w:tcPr>
            <w:tcW w:w="2828" w:type="dxa"/>
          </w:tcPr>
          <w:p w14:paraId="38F2BFC8" w14:textId="58A47E36" w:rsidR="00C24C91" w:rsidRDefault="00C24C91" w:rsidP="00A3192C">
            <w:pPr>
              <w:pStyle w:val="TableText"/>
              <w:cnfStyle w:val="000000000000" w:firstRow="0" w:lastRow="0" w:firstColumn="0" w:lastColumn="0" w:oddVBand="0" w:evenVBand="0" w:oddHBand="0" w:evenHBand="0" w:firstRowFirstColumn="0" w:firstRowLastColumn="0" w:lastRowFirstColumn="0" w:lastRowLastColumn="0"/>
            </w:pPr>
            <w:r>
              <w:t xml:space="preserve">Chapter 11 </w:t>
            </w:r>
            <w:r w:rsidRPr="00D36F04">
              <w:rPr>
                <w:rStyle w:val="Italics"/>
              </w:rPr>
              <w:t>Air quality</w:t>
            </w:r>
          </w:p>
          <w:p w14:paraId="398AC34C" w14:textId="3CAE61FC" w:rsidR="00C24C91" w:rsidRDefault="00C24C91" w:rsidP="00A3192C">
            <w:pPr>
              <w:pStyle w:val="TableText"/>
              <w:cnfStyle w:val="000000000000" w:firstRow="0" w:lastRow="0" w:firstColumn="0" w:lastColumn="0" w:oddVBand="0" w:evenVBand="0" w:oddHBand="0" w:evenHBand="0" w:firstRowFirstColumn="0" w:firstRowLastColumn="0" w:lastRowFirstColumn="0" w:lastRowLastColumn="0"/>
            </w:pPr>
            <w:r>
              <w:t xml:space="preserve">Chapter 12 </w:t>
            </w:r>
            <w:r w:rsidRPr="00D36F04">
              <w:rPr>
                <w:rStyle w:val="Italics"/>
              </w:rPr>
              <w:t>Noise and vibration</w:t>
            </w:r>
          </w:p>
          <w:p w14:paraId="08F1D1D9" w14:textId="7E86FC5D" w:rsidR="00C24C91" w:rsidRDefault="00C24C91" w:rsidP="00A3192C">
            <w:pPr>
              <w:pStyle w:val="TableText"/>
              <w:cnfStyle w:val="000000000000" w:firstRow="0" w:lastRow="0" w:firstColumn="0" w:lastColumn="0" w:oddVBand="0" w:evenVBand="0" w:oddHBand="0" w:evenHBand="0" w:firstRowFirstColumn="0" w:firstRowLastColumn="0" w:lastRowFirstColumn="0" w:lastRowLastColumn="0"/>
            </w:pPr>
            <w:r>
              <w:t xml:space="preserve">Chapter 14 </w:t>
            </w:r>
            <w:r w:rsidRPr="00D36F04">
              <w:rPr>
                <w:rStyle w:val="Italics"/>
              </w:rPr>
              <w:t>Landscape and</w:t>
            </w:r>
            <w:r w:rsidR="00CB4637">
              <w:rPr>
                <w:rStyle w:val="Italics"/>
              </w:rPr>
              <w:t> </w:t>
            </w:r>
            <w:r w:rsidRPr="00D36F04">
              <w:rPr>
                <w:rStyle w:val="Italics"/>
              </w:rPr>
              <w:t>visual</w:t>
            </w:r>
          </w:p>
          <w:p w14:paraId="1228BA4D" w14:textId="66F0A4E4"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t xml:space="preserve">Chapter </w:t>
            </w:r>
            <w:r w:rsidRPr="00547D6A">
              <w:t>15</w:t>
            </w:r>
            <w:r w:rsidRPr="004B26EA">
              <w:rPr>
                <w:rStyle w:val="Italics"/>
              </w:rPr>
              <w:t xml:space="preserve"> Land use</w:t>
            </w:r>
            <w:r w:rsidRPr="00547D6A">
              <w:t xml:space="preserve"> </w:t>
            </w:r>
          </w:p>
          <w:p w14:paraId="3F7FE2DB" w14:textId="77777777"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t xml:space="preserve">Chapter </w:t>
            </w:r>
            <w:r w:rsidRPr="00547D6A">
              <w:t xml:space="preserve">16 </w:t>
            </w:r>
            <w:r w:rsidRPr="004B26EA">
              <w:rPr>
                <w:rStyle w:val="Italics"/>
              </w:rPr>
              <w:t>Social</w:t>
            </w:r>
          </w:p>
          <w:p w14:paraId="4566602D" w14:textId="109747E8" w:rsidR="00C24C91" w:rsidRPr="00D36F04" w:rsidRDefault="00C24C91" w:rsidP="00A3192C">
            <w:pPr>
              <w:pStyle w:val="TableText"/>
              <w:cnfStyle w:val="000000000000" w:firstRow="0" w:lastRow="0" w:firstColumn="0" w:lastColumn="0" w:oddVBand="0" w:evenVBand="0" w:oddHBand="0" w:evenHBand="0" w:firstRowFirstColumn="0" w:firstRowLastColumn="0" w:lastRowFirstColumn="0" w:lastRowLastColumn="0"/>
              <w:rPr>
                <w:i/>
              </w:rPr>
            </w:pPr>
            <w:r w:rsidRPr="00C24C91">
              <w:t>Technical report</w:t>
            </w:r>
            <w:r>
              <w:t xml:space="preserve"> F </w:t>
            </w:r>
            <w:r w:rsidRPr="00D36F04">
              <w:rPr>
                <w:rStyle w:val="Italics"/>
              </w:rPr>
              <w:t>Noise and</w:t>
            </w:r>
            <w:r w:rsidR="00CB4637">
              <w:rPr>
                <w:rStyle w:val="Italics"/>
              </w:rPr>
              <w:t> </w:t>
            </w:r>
            <w:r w:rsidRPr="00D36F04">
              <w:rPr>
                <w:rStyle w:val="Italics"/>
              </w:rPr>
              <w:t>vibration</w:t>
            </w:r>
          </w:p>
          <w:p w14:paraId="5D06EE32" w14:textId="4C5AEC7A" w:rsidR="00C24C91" w:rsidRPr="00D36F04" w:rsidRDefault="00C24C91" w:rsidP="00A3192C">
            <w:pPr>
              <w:pStyle w:val="TableText"/>
              <w:cnfStyle w:val="000000000000" w:firstRow="0" w:lastRow="0" w:firstColumn="0" w:lastColumn="0" w:oddVBand="0" w:evenVBand="0" w:oddHBand="0" w:evenHBand="0" w:firstRowFirstColumn="0" w:firstRowLastColumn="0" w:lastRowFirstColumn="0" w:lastRowLastColumn="0"/>
              <w:rPr>
                <w:i/>
              </w:rPr>
            </w:pPr>
            <w:r w:rsidRPr="00C24C91">
              <w:t>Technical report</w:t>
            </w:r>
            <w:r>
              <w:t xml:space="preserve"> G </w:t>
            </w:r>
            <w:r w:rsidRPr="00D36F04">
              <w:rPr>
                <w:rStyle w:val="Italics"/>
              </w:rPr>
              <w:t>Air quality</w:t>
            </w:r>
          </w:p>
          <w:p w14:paraId="464BD3E3" w14:textId="6A0FC062" w:rsidR="00C24C91" w:rsidRPr="00D36F04" w:rsidRDefault="00A3192C" w:rsidP="00A3192C">
            <w:pPr>
              <w:pStyle w:val="TableText"/>
              <w:cnfStyle w:val="000000000000" w:firstRow="0" w:lastRow="0" w:firstColumn="0" w:lastColumn="0" w:oddVBand="0" w:evenVBand="0" w:oddHBand="0" w:evenHBand="0" w:firstRowFirstColumn="0" w:firstRowLastColumn="0" w:lastRowFirstColumn="0" w:lastRowLastColumn="0"/>
              <w:rPr>
                <w:rStyle w:val="Italics"/>
              </w:rPr>
            </w:pPr>
            <w:r>
              <w:t xml:space="preserve">Technical report </w:t>
            </w:r>
            <w:r w:rsidRPr="00547D6A">
              <w:t xml:space="preserve">J </w:t>
            </w:r>
            <w:r w:rsidR="00C24C91" w:rsidRPr="00D36F04">
              <w:rPr>
                <w:rStyle w:val="Italics"/>
              </w:rPr>
              <w:t>Landscape and visual</w:t>
            </w:r>
          </w:p>
          <w:p w14:paraId="41C0F89F" w14:textId="50DAA967" w:rsidR="00CC7644" w:rsidRPr="00D36F04" w:rsidRDefault="00A3192C" w:rsidP="00A3192C">
            <w:pPr>
              <w:pStyle w:val="TableText"/>
              <w:cnfStyle w:val="000000000000" w:firstRow="0" w:lastRow="0" w:firstColumn="0" w:lastColumn="0" w:oddVBand="0" w:evenVBand="0" w:oddHBand="0" w:evenHBand="0" w:firstRowFirstColumn="0" w:firstRowLastColumn="0" w:lastRowFirstColumn="0" w:lastRowLastColumn="0"/>
              <w:rPr>
                <w:i/>
              </w:rPr>
            </w:pPr>
            <w:r>
              <w:t xml:space="preserve">Technical report </w:t>
            </w:r>
            <w:r w:rsidRPr="00547D6A">
              <w:t xml:space="preserve">J </w:t>
            </w:r>
            <w:r w:rsidR="00CC7644" w:rsidRPr="00CB4637">
              <w:rPr>
                <w:rStyle w:val="Italics"/>
              </w:rPr>
              <w:t>Landscape and visual</w:t>
            </w:r>
          </w:p>
          <w:p w14:paraId="282EBEF5" w14:textId="5CC61534" w:rsidR="00A3192C" w:rsidRPr="004B26EA" w:rsidRDefault="00A3192C" w:rsidP="00A3192C">
            <w:pPr>
              <w:pStyle w:val="TableText"/>
              <w:cnfStyle w:val="000000000000" w:firstRow="0" w:lastRow="0" w:firstColumn="0" w:lastColumn="0" w:oddVBand="0" w:evenVBand="0" w:oddHBand="0" w:evenHBand="0" w:firstRowFirstColumn="0" w:firstRowLastColumn="0" w:lastRowFirstColumn="0" w:lastRowLastColumn="0"/>
              <w:rPr>
                <w:rStyle w:val="Italics"/>
              </w:rPr>
            </w:pPr>
            <w:r>
              <w:t xml:space="preserve">Technical report </w:t>
            </w:r>
            <w:r w:rsidR="00276666">
              <w:t>K</w:t>
            </w:r>
            <w:r w:rsidRPr="00547D6A">
              <w:t xml:space="preserve"> </w:t>
            </w:r>
            <w:r w:rsidRPr="004B26EA">
              <w:rPr>
                <w:rStyle w:val="Italics"/>
              </w:rPr>
              <w:t xml:space="preserve">Land use </w:t>
            </w:r>
          </w:p>
          <w:p w14:paraId="1FD3A453" w14:textId="362840DC" w:rsidR="00A3192C" w:rsidRPr="00A3192C" w:rsidRDefault="00A3192C" w:rsidP="00A3192C">
            <w:pPr>
              <w:pStyle w:val="TableText"/>
              <w:cnfStyle w:val="000000000000" w:firstRow="0" w:lastRow="0" w:firstColumn="0" w:lastColumn="0" w:oddVBand="0" w:evenVBand="0" w:oddHBand="0" w:evenHBand="0" w:firstRowFirstColumn="0" w:firstRowLastColumn="0" w:lastRowFirstColumn="0" w:lastRowLastColumn="0"/>
            </w:pPr>
            <w:r>
              <w:t xml:space="preserve">Technical report </w:t>
            </w:r>
            <w:r w:rsidR="00276666">
              <w:t>L</w:t>
            </w:r>
            <w:r w:rsidRPr="00A3192C">
              <w:t xml:space="preserve"> </w:t>
            </w:r>
            <w:r w:rsidRPr="004B26EA">
              <w:rPr>
                <w:rStyle w:val="Italics"/>
              </w:rPr>
              <w:t>Social</w:t>
            </w:r>
            <w:r w:rsidRPr="00A3192C">
              <w:t xml:space="preserve"> </w:t>
            </w:r>
          </w:p>
        </w:tc>
      </w:tr>
      <w:tr w:rsidR="00A3192C" w14:paraId="5492515E" w14:textId="77777777" w:rsidTr="00CB4637">
        <w:trPr>
          <w:cantSplit/>
        </w:trPr>
        <w:tc>
          <w:tcPr>
            <w:cnfStyle w:val="001000000000" w:firstRow="0" w:lastRow="0" w:firstColumn="1" w:lastColumn="0" w:oddVBand="0" w:evenVBand="0" w:oddHBand="0" w:evenHBand="0" w:firstRowFirstColumn="0" w:firstRowLastColumn="0" w:lastRowFirstColumn="0" w:lastRowLastColumn="0"/>
            <w:tcW w:w="2547" w:type="dxa"/>
          </w:tcPr>
          <w:p w14:paraId="61AD0742" w14:textId="77777777" w:rsidR="00A3192C" w:rsidRPr="00547D6A" w:rsidRDefault="00A3192C" w:rsidP="00A3192C">
            <w:pPr>
              <w:pStyle w:val="TableText"/>
            </w:pPr>
            <w:r w:rsidRPr="00547D6A">
              <w:t>Waste management</w:t>
            </w:r>
          </w:p>
          <w:p w14:paraId="301C6C03" w14:textId="19E7A231" w:rsidR="00A3192C" w:rsidRPr="00A3192C" w:rsidRDefault="00A3192C" w:rsidP="00A3192C">
            <w:pPr>
              <w:pStyle w:val="TableText"/>
            </w:pPr>
            <w:r w:rsidRPr="00955CBD">
              <w:t xml:space="preserve">Minimise generation of wastes from the </w:t>
            </w:r>
            <w:r w:rsidR="00962C18">
              <w:t>P</w:t>
            </w:r>
            <w:r w:rsidRPr="00955CBD">
              <w:t>roject during construction and operation, and to prevent adverse</w:t>
            </w:r>
            <w:r w:rsidRPr="00A3192C">
              <w:t xml:space="preserve"> environmental or health effects from storing, handling, </w:t>
            </w:r>
            <w:proofErr w:type="gramStart"/>
            <w:r w:rsidRPr="00A3192C">
              <w:t>transporting</w:t>
            </w:r>
            <w:proofErr w:type="gramEnd"/>
            <w:r w:rsidRPr="00A3192C">
              <w:t xml:space="preserve"> and disposing of waste products</w:t>
            </w:r>
          </w:p>
        </w:tc>
        <w:tc>
          <w:tcPr>
            <w:tcW w:w="3685" w:type="dxa"/>
          </w:tcPr>
          <w:p w14:paraId="0D128135" w14:textId="4E0F6E7A" w:rsidR="00E873AE" w:rsidRPr="003C78E5" w:rsidRDefault="00E873AE" w:rsidP="00D22763">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sidRPr="00E873AE">
              <w:rPr>
                <w:rStyle w:val="Italics"/>
              </w:rPr>
              <w:t xml:space="preserve">Environment Protection Act 1970 </w:t>
            </w:r>
            <w:r w:rsidRPr="00E873AE">
              <w:rPr>
                <w:rStyle w:val="Removedirectformatting"/>
              </w:rPr>
              <w:t>(Vic) (</w:t>
            </w:r>
            <w:r w:rsidRPr="00E873AE">
              <w:rPr>
                <w:rStyle w:val="Italics"/>
              </w:rPr>
              <w:t>Environment Protection Act 2017</w:t>
            </w:r>
            <w:r w:rsidRPr="00E873AE">
              <w:t xml:space="preserve"> (Vic) as amended by the </w:t>
            </w:r>
            <w:r w:rsidRPr="00E873AE">
              <w:rPr>
                <w:rStyle w:val="Italics"/>
              </w:rPr>
              <w:t>Environment Protection Amendment Act 2018</w:t>
            </w:r>
            <w:r w:rsidRPr="00E873AE">
              <w:t xml:space="preserve"> (Vic) commencing on 1 July 2021)</w:t>
            </w:r>
          </w:p>
          <w:p w14:paraId="4D688BED" w14:textId="3675989D" w:rsidR="00A3192C" w:rsidRPr="00A3192C" w:rsidRDefault="00D22763" w:rsidP="00CB4637">
            <w:pPr>
              <w:pStyle w:val="TableText"/>
              <w:cnfStyle w:val="000000000000" w:firstRow="0" w:lastRow="0" w:firstColumn="0" w:lastColumn="0" w:oddVBand="0" w:evenVBand="0" w:oddHBand="0" w:evenHBand="0" w:firstRowFirstColumn="0" w:firstRowLastColumn="0" w:lastRowFirstColumn="0" w:lastRowLastColumn="0"/>
            </w:pPr>
            <w:r w:rsidRPr="00EE7785">
              <w:rPr>
                <w:rStyle w:val="Italics"/>
              </w:rPr>
              <w:t>Climate Change Act 2017</w:t>
            </w:r>
            <w:r w:rsidRPr="00D22763">
              <w:t xml:space="preserve"> (Vic)</w:t>
            </w:r>
          </w:p>
        </w:tc>
        <w:tc>
          <w:tcPr>
            <w:tcW w:w="2828" w:type="dxa"/>
          </w:tcPr>
          <w:p w14:paraId="109ED75C" w14:textId="42315313"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t xml:space="preserve">Chapter </w:t>
            </w:r>
            <w:r w:rsidRPr="00547D6A">
              <w:t xml:space="preserve">10 </w:t>
            </w:r>
            <w:r w:rsidR="00276666">
              <w:rPr>
                <w:rStyle w:val="Italics"/>
              </w:rPr>
              <w:t>Waste management (greenhouse gas and contamination)</w:t>
            </w:r>
          </w:p>
          <w:p w14:paraId="38B8A888" w14:textId="794CCA61" w:rsidR="00A3192C" w:rsidRPr="00547D6A" w:rsidRDefault="00A3192C" w:rsidP="00A3192C">
            <w:pPr>
              <w:pStyle w:val="TableText"/>
              <w:cnfStyle w:val="000000000000" w:firstRow="0" w:lastRow="0" w:firstColumn="0" w:lastColumn="0" w:oddVBand="0" w:evenVBand="0" w:oddHBand="0" w:evenHBand="0" w:firstRowFirstColumn="0" w:firstRowLastColumn="0" w:lastRowFirstColumn="0" w:lastRowLastColumn="0"/>
            </w:pPr>
            <w:r>
              <w:t xml:space="preserve">Technical report </w:t>
            </w:r>
            <w:r w:rsidR="00276666">
              <w:t>E</w:t>
            </w:r>
            <w:r w:rsidRPr="00547D6A">
              <w:t xml:space="preserve"> </w:t>
            </w:r>
            <w:r w:rsidRPr="004B26EA">
              <w:rPr>
                <w:rStyle w:val="Italics"/>
              </w:rPr>
              <w:t xml:space="preserve">Contamination </w:t>
            </w:r>
          </w:p>
          <w:p w14:paraId="3ECCDEF6" w14:textId="53355C88" w:rsidR="00A3192C" w:rsidRPr="00A3192C" w:rsidRDefault="00A3192C" w:rsidP="00A3192C">
            <w:pPr>
              <w:pStyle w:val="TableText"/>
              <w:cnfStyle w:val="000000000000" w:firstRow="0" w:lastRow="0" w:firstColumn="0" w:lastColumn="0" w:oddVBand="0" w:evenVBand="0" w:oddHBand="0" w:evenHBand="0" w:firstRowFirstColumn="0" w:firstRowLastColumn="0" w:lastRowFirstColumn="0" w:lastRowLastColumn="0"/>
            </w:pPr>
            <w:r>
              <w:t xml:space="preserve">Technical report </w:t>
            </w:r>
            <w:r w:rsidR="00276666">
              <w:t>H</w:t>
            </w:r>
            <w:r w:rsidRPr="00A3192C">
              <w:t xml:space="preserve"> </w:t>
            </w:r>
            <w:r w:rsidRPr="004B26EA">
              <w:rPr>
                <w:rStyle w:val="Italics"/>
              </w:rPr>
              <w:t>Greenhouse</w:t>
            </w:r>
            <w:r w:rsidR="00CB4637">
              <w:rPr>
                <w:rStyle w:val="Italics"/>
              </w:rPr>
              <w:t> </w:t>
            </w:r>
            <w:r w:rsidRPr="004B26EA">
              <w:rPr>
                <w:rStyle w:val="Italics"/>
              </w:rPr>
              <w:t>gas</w:t>
            </w:r>
          </w:p>
        </w:tc>
      </w:tr>
    </w:tbl>
    <w:p w14:paraId="7C3F0EC3" w14:textId="77777777" w:rsidR="00547D6A" w:rsidRPr="00547D6A" w:rsidRDefault="00547D6A" w:rsidP="00547D6A">
      <w:pPr>
        <w:pStyle w:val="Heading2"/>
      </w:pPr>
      <w:bookmarkStart w:id="53" w:name="_Toc71731598"/>
      <w:bookmarkStart w:id="54" w:name="_Toc72230980"/>
      <w:r w:rsidRPr="000667B5">
        <w:lastRenderedPageBreak/>
        <w:t>Assessment approach</w:t>
      </w:r>
      <w:bookmarkEnd w:id="53"/>
      <w:bookmarkEnd w:id="54"/>
    </w:p>
    <w:p w14:paraId="1A263D83" w14:textId="5FF5CE5C" w:rsidR="00547D6A" w:rsidRDefault="00547D6A" w:rsidP="00547D6A">
      <w:pPr>
        <w:pStyle w:val="BodyText"/>
      </w:pPr>
      <w:r>
        <w:t>The EES technical studies address the EES scoping requirements</w:t>
      </w:r>
      <w:r w:rsidR="007B1F18">
        <w:t xml:space="preserve">, inform the Pipelines Act process </w:t>
      </w:r>
      <w:r w:rsidR="007B1F18" w:rsidDel="00B73501">
        <w:t xml:space="preserve">and </w:t>
      </w:r>
      <w:r>
        <w:t xml:space="preserve">demonstrate how each evaluation objective has been met. </w:t>
      </w:r>
      <w:r w:rsidR="00823A31">
        <w:t>A</w:t>
      </w:r>
      <w:r>
        <w:t xml:space="preserve"> systematic approach </w:t>
      </w:r>
      <w:r w:rsidR="00823A31">
        <w:t xml:space="preserve">was used </w:t>
      </w:r>
      <w:r>
        <w:t xml:space="preserve">to understand the existing environment, the potential impact of the </w:t>
      </w:r>
      <w:r w:rsidR="00A137FD">
        <w:t>P</w:t>
      </w:r>
      <w:r>
        <w:t xml:space="preserve">roject on the environment and to evaluate the effectiveness of </w:t>
      </w:r>
      <w:r w:rsidR="002B2A21">
        <w:t xml:space="preserve">management </w:t>
      </w:r>
      <w:r>
        <w:t>measures to avoid, minimise or manage potential impacts.</w:t>
      </w:r>
      <w:r w:rsidR="00123884">
        <w:t xml:space="preserve"> </w:t>
      </w:r>
    </w:p>
    <w:p w14:paraId="48128901" w14:textId="73FA8360" w:rsidR="00547D6A" w:rsidRDefault="00547D6A" w:rsidP="00547D6A">
      <w:pPr>
        <w:pStyle w:val="BodyText"/>
      </w:pPr>
      <w:r>
        <w:t>This section describes the key steps in the development of the technical studies.</w:t>
      </w:r>
    </w:p>
    <w:p w14:paraId="0A1ED0F8" w14:textId="77777777" w:rsidR="00547D6A" w:rsidRPr="00547D6A" w:rsidRDefault="00547D6A" w:rsidP="00547D6A">
      <w:pPr>
        <w:pStyle w:val="Heading3"/>
      </w:pPr>
      <w:bookmarkStart w:id="55" w:name="_Toc71731599"/>
      <w:bookmarkStart w:id="56" w:name="_Toc72230981"/>
      <w:r>
        <w:t>Existing conditions</w:t>
      </w:r>
      <w:bookmarkEnd w:id="55"/>
      <w:bookmarkEnd w:id="56"/>
    </w:p>
    <w:p w14:paraId="5B437942" w14:textId="402310CB" w:rsidR="00547D6A" w:rsidRDefault="00547D6A" w:rsidP="00547D6A">
      <w:pPr>
        <w:pStyle w:val="BodyText"/>
      </w:pPr>
      <w:r>
        <w:t xml:space="preserve">The existing conditions assessment </w:t>
      </w:r>
      <w:r w:rsidR="008D3FCE">
        <w:t>identified</w:t>
      </w:r>
      <w:r>
        <w:t xml:space="preserve"> the current condition of the environment and the environmental context for the Project. This </w:t>
      </w:r>
      <w:r w:rsidR="008D3FCE">
        <w:t>included</w:t>
      </w:r>
      <w:r>
        <w:t xml:space="preserve"> identifying and characterising the significance of existing assets, values and uses that could be affected by the Project.</w:t>
      </w:r>
    </w:p>
    <w:p w14:paraId="468FB789" w14:textId="577CCC36" w:rsidR="00547D6A" w:rsidRDefault="00547D6A" w:rsidP="00547D6A">
      <w:pPr>
        <w:pStyle w:val="BodyText"/>
      </w:pPr>
      <w:r>
        <w:t>Each of the 1</w:t>
      </w:r>
      <w:r w:rsidR="00BD1103">
        <w:t>3</w:t>
      </w:r>
      <w:r>
        <w:t xml:space="preserve"> technical studies undertook an existing conditions assessment, which collectively </w:t>
      </w:r>
      <w:r w:rsidR="008D3FCE">
        <w:t>provided</w:t>
      </w:r>
      <w:r>
        <w:t xml:space="preserve"> the environmental context for the Project. The geographic study area for each technical study </w:t>
      </w:r>
      <w:r w:rsidR="008D3FCE">
        <w:t>r</w:t>
      </w:r>
      <w:r>
        <w:t>eflect</w:t>
      </w:r>
      <w:r w:rsidR="008D3FCE">
        <w:t>ed</w:t>
      </w:r>
      <w:r>
        <w:t xml:space="preserve"> differences in the extent of potential impacts for each discipline. </w:t>
      </w:r>
    </w:p>
    <w:p w14:paraId="1280E574" w14:textId="5D446403" w:rsidR="00547D6A" w:rsidRDefault="00547D6A" w:rsidP="00547D6A">
      <w:pPr>
        <w:pStyle w:val="BodyText"/>
      </w:pPr>
      <w:r>
        <w:t xml:space="preserve">The existing conditions for each of the technical studies are summarised in </w:t>
      </w:r>
      <w:r w:rsidRPr="00F23803">
        <w:t xml:space="preserve">Chapters </w:t>
      </w:r>
      <w:r>
        <w:t>7</w:t>
      </w:r>
      <w:r w:rsidR="00E613EA">
        <w:t>–</w:t>
      </w:r>
      <w:r>
        <w:t>1</w:t>
      </w:r>
      <w:r w:rsidR="00BD1103">
        <w:t>8</w:t>
      </w:r>
      <w:r>
        <w:t xml:space="preserve"> and detailed in </w:t>
      </w:r>
      <w:r w:rsidRPr="006556E9">
        <w:t xml:space="preserve">Technical reports </w:t>
      </w:r>
      <w:r>
        <w:t>A</w:t>
      </w:r>
      <w:r w:rsidR="00E613EA">
        <w:t>–</w:t>
      </w:r>
      <w:r w:rsidR="00BD1103">
        <w:t>M</w:t>
      </w:r>
      <w:r>
        <w:t>.</w:t>
      </w:r>
    </w:p>
    <w:p w14:paraId="75EF4F15" w14:textId="77777777" w:rsidR="00547D6A" w:rsidRPr="00547D6A" w:rsidRDefault="00547D6A" w:rsidP="00547D6A">
      <w:pPr>
        <w:pStyle w:val="Heading3"/>
      </w:pPr>
      <w:bookmarkStart w:id="57" w:name="_Toc71731600"/>
      <w:bookmarkStart w:id="58" w:name="_Toc72230982"/>
      <w:r>
        <w:t>Risk assessment</w:t>
      </w:r>
      <w:bookmarkEnd w:id="57"/>
      <w:bookmarkEnd w:id="58"/>
    </w:p>
    <w:p w14:paraId="08CC62A7" w14:textId="0C36FDFD" w:rsidR="00547D6A" w:rsidRDefault="00123884" w:rsidP="00547D6A">
      <w:pPr>
        <w:pStyle w:val="BodyText"/>
      </w:pPr>
      <w:r>
        <w:t>The environmental risk assessment tool identif</w:t>
      </w:r>
      <w:r w:rsidR="00622742">
        <w:t>ied</w:t>
      </w:r>
      <w:r>
        <w:t xml:space="preserve"> potential environmental effects and justif</w:t>
      </w:r>
      <w:r w:rsidR="00622742">
        <w:t>ied</w:t>
      </w:r>
      <w:r>
        <w:t xml:space="preserve"> the level of effort applied to each aspect of the impact assessment. </w:t>
      </w:r>
      <w:r w:rsidR="00043EF6">
        <w:t xml:space="preserve">This was used as a screening tool to inform the impact assessment and to focus the assessment on the higher risks, where there is opportunity to minimise. </w:t>
      </w:r>
      <w:r w:rsidR="00547D6A">
        <w:t xml:space="preserve">An environmental risk assessment was conducted for the Project using an approach consistent with AS/NZS ISO 31000:2009 Risk Management Principles and guidelines. </w:t>
      </w:r>
    </w:p>
    <w:p w14:paraId="23F1538C" w14:textId="77777777" w:rsidR="00547D6A" w:rsidRDefault="00547D6A" w:rsidP="00547D6A">
      <w:pPr>
        <w:pStyle w:val="BodyText"/>
      </w:pPr>
      <w:r>
        <w:t>Key steps include:</w:t>
      </w:r>
    </w:p>
    <w:p w14:paraId="7C1EE225" w14:textId="34BA9A65" w:rsidR="00547D6A" w:rsidRPr="00547D6A" w:rsidRDefault="00547D6A" w:rsidP="00486C00">
      <w:pPr>
        <w:pStyle w:val="BodyBullet1"/>
      </w:pPr>
      <w:r w:rsidRPr="00547D6A">
        <w:t>Establishment of the context of the risk assessment</w:t>
      </w:r>
      <w:r w:rsidR="001943DB">
        <w:t>:</w:t>
      </w:r>
      <w:r w:rsidRPr="00547D6A">
        <w:t xml:space="preserve"> using existing conditions and relevant policy and legislation</w:t>
      </w:r>
    </w:p>
    <w:p w14:paraId="47D69FCD" w14:textId="337B1284" w:rsidR="00547D6A" w:rsidRDefault="00547D6A" w:rsidP="00486C00">
      <w:pPr>
        <w:pStyle w:val="BodyBullet1"/>
      </w:pPr>
      <w:r w:rsidRPr="00547D6A">
        <w:t>Risk identification</w:t>
      </w:r>
      <w:r w:rsidR="001943DB">
        <w:t>:</w:t>
      </w:r>
      <w:r w:rsidRPr="00547D6A">
        <w:t xml:space="preserve"> consideration of the construction and operational activities in the context of existing conditions</w:t>
      </w:r>
    </w:p>
    <w:tbl>
      <w:tblPr>
        <w:tblW w:w="0" w:type="auto"/>
        <w:tblLook w:val="04A0" w:firstRow="1" w:lastRow="0" w:firstColumn="1" w:lastColumn="0" w:noHBand="0" w:noVBand="1"/>
      </w:tblPr>
      <w:tblGrid>
        <w:gridCol w:w="6237"/>
        <w:gridCol w:w="2818"/>
      </w:tblGrid>
      <w:tr w:rsidR="00E613EA" w14:paraId="2584F0DE" w14:textId="77777777" w:rsidTr="00C31631">
        <w:trPr>
          <w:cantSplit/>
        </w:trPr>
        <w:tc>
          <w:tcPr>
            <w:tcW w:w="6237" w:type="dxa"/>
            <w:tcBorders>
              <w:right w:val="single" w:sz="12" w:space="0" w:color="1C4483" w:themeColor="accent1"/>
            </w:tcBorders>
            <w:tcMar>
              <w:left w:w="0" w:type="dxa"/>
              <w:right w:w="227" w:type="dxa"/>
            </w:tcMar>
          </w:tcPr>
          <w:p w14:paraId="68460C8C" w14:textId="669DDBBF" w:rsidR="00C31631" w:rsidRPr="00547D6A" w:rsidRDefault="00C31631" w:rsidP="00C31631">
            <w:pPr>
              <w:pStyle w:val="BodyBullet1"/>
              <w:spacing w:before="0"/>
            </w:pPr>
            <w:r w:rsidRPr="00547D6A">
              <w:t>Risk analysis</w:t>
            </w:r>
            <w:r>
              <w:t>:</w:t>
            </w:r>
            <w:r w:rsidRPr="00547D6A">
              <w:t xml:space="preserve"> assign likelihood and consequence ratings for each risk to determine risk ratings in the context of </w:t>
            </w:r>
            <w:r>
              <w:t xml:space="preserve">standard requirements and </w:t>
            </w:r>
            <w:r w:rsidRPr="00547D6A">
              <w:t>controls proposed</w:t>
            </w:r>
            <w:r>
              <w:t xml:space="preserve"> by the Project to manage risks</w:t>
            </w:r>
          </w:p>
          <w:p w14:paraId="625C4095" w14:textId="77777777" w:rsidR="00C31631" w:rsidRPr="00547D6A" w:rsidRDefault="00C31631" w:rsidP="00C31631">
            <w:pPr>
              <w:pStyle w:val="BodyBullet1"/>
            </w:pPr>
            <w:r w:rsidRPr="00547D6A">
              <w:t>Risk treatment</w:t>
            </w:r>
            <w:r>
              <w:t>:</w:t>
            </w:r>
            <w:r w:rsidRPr="00547D6A">
              <w:t xml:space="preserve"> identify additional controls and management measures to mitigate identified risks (if required) throug</w:t>
            </w:r>
            <w:r>
              <w:t>h the impact assessment process</w:t>
            </w:r>
          </w:p>
          <w:p w14:paraId="00B076AF" w14:textId="09434FB3" w:rsidR="00C31631" w:rsidRDefault="00C31631" w:rsidP="00C31631">
            <w:pPr>
              <w:pStyle w:val="BodyBullet1"/>
              <w:spacing w:after="0"/>
            </w:pPr>
            <w:r w:rsidRPr="00547D6A">
              <w:t>Residual risk and impact evaluation</w:t>
            </w:r>
            <w:r>
              <w:t>:</w:t>
            </w:r>
            <w:r w:rsidRPr="00547D6A">
              <w:t xml:space="preserve"> identify adjusted risk ratings following the applicati</w:t>
            </w:r>
            <w:r>
              <w:t>on of final management measures through an iterative review process.</w:t>
            </w:r>
          </w:p>
        </w:tc>
        <w:tc>
          <w:tcPr>
            <w:tcW w:w="2818"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bottom w:w="142" w:type="dxa"/>
              <w:right w:w="142" w:type="dxa"/>
            </w:tcMar>
          </w:tcPr>
          <w:p w14:paraId="47971AA6" w14:textId="79043637" w:rsidR="00C31631" w:rsidRDefault="00C31631" w:rsidP="00C31631">
            <w:pPr>
              <w:pStyle w:val="CalloutHeader"/>
            </w:pPr>
            <w:r w:rsidRPr="00486C00">
              <w:t>What is the difference between a risk and</w:t>
            </w:r>
            <w:r>
              <w:t> </w:t>
            </w:r>
            <w:r w:rsidRPr="00486C00">
              <w:t>an</w:t>
            </w:r>
            <w:r>
              <w:t> </w:t>
            </w:r>
            <w:r w:rsidRPr="00486C00">
              <w:t>impact?</w:t>
            </w:r>
          </w:p>
          <w:p w14:paraId="0AE63FA1" w14:textId="77777777" w:rsidR="00C31631" w:rsidRDefault="00C31631" w:rsidP="00C31631">
            <w:pPr>
              <w:pStyle w:val="TableText"/>
            </w:pPr>
            <w:r>
              <w:t xml:space="preserve">A </w:t>
            </w:r>
            <w:r w:rsidRPr="0086481C">
              <w:rPr>
                <w:rStyle w:val="TextBlue"/>
              </w:rPr>
              <w:t>risk</w:t>
            </w:r>
            <w:r w:rsidRPr="006556E9">
              <w:t xml:space="preserve"> </w:t>
            </w:r>
            <w:r>
              <w:t>is the function of the likelihood of an adverse event occurring and the potential consequences of the event.</w:t>
            </w:r>
          </w:p>
          <w:p w14:paraId="204C2DC7" w14:textId="234048C3" w:rsidR="00C31631" w:rsidRDefault="00C31631" w:rsidP="00C31631">
            <w:pPr>
              <w:pStyle w:val="TableText"/>
            </w:pPr>
            <w:r>
              <w:t xml:space="preserve">An </w:t>
            </w:r>
            <w:r w:rsidRPr="0086481C">
              <w:rPr>
                <w:rStyle w:val="TextBlue"/>
              </w:rPr>
              <w:t>impact</w:t>
            </w:r>
            <w:r w:rsidRPr="0086481C">
              <w:t xml:space="preserve"> </w:t>
            </w:r>
            <w:r>
              <w:t xml:space="preserve">relates to the outcome of an event in relation to an asset, </w:t>
            </w:r>
            <w:proofErr w:type="gramStart"/>
            <w:r>
              <w:t>value</w:t>
            </w:r>
            <w:proofErr w:type="gramEnd"/>
            <w:r>
              <w:t xml:space="preserve"> or use. </w:t>
            </w:r>
          </w:p>
        </w:tc>
      </w:tr>
    </w:tbl>
    <w:p w14:paraId="7157BEA8" w14:textId="77777777" w:rsidR="00547D6A" w:rsidRPr="00547D6A" w:rsidRDefault="00547D6A" w:rsidP="00547D6A">
      <w:pPr>
        <w:pStyle w:val="Heading4"/>
      </w:pPr>
      <w:r>
        <w:lastRenderedPageBreak/>
        <w:t>Assigning consequence of risks</w:t>
      </w:r>
    </w:p>
    <w:p w14:paraId="4E3A26DF" w14:textId="3C008CA2" w:rsidR="00547D6A" w:rsidRDefault="00547D6A" w:rsidP="00547D6A">
      <w:pPr>
        <w:pStyle w:val="BodyText"/>
      </w:pPr>
      <w:r>
        <w:t xml:space="preserve">Consequence refers to the maximum credible outcome of an event affecting an asset, </w:t>
      </w:r>
      <w:proofErr w:type="gramStart"/>
      <w:r>
        <w:t>value</w:t>
      </w:r>
      <w:proofErr w:type="gramEnd"/>
      <w:r>
        <w:t xml:space="preserve"> or use. The consequence of a risk occurring </w:t>
      </w:r>
      <w:r w:rsidR="00981C8C">
        <w:t>was</w:t>
      </w:r>
      <w:r>
        <w:t xml:space="preserve"> assigned using a consequence guide specific to each technical area, based on the existing conditions and values in the study area. Consequence criteria have been developed to consider the following characteristics:</w:t>
      </w:r>
    </w:p>
    <w:p w14:paraId="27F20BF6" w14:textId="77777777" w:rsidR="00547D6A" w:rsidRPr="00547D6A" w:rsidRDefault="00547D6A" w:rsidP="003104A8">
      <w:pPr>
        <w:pStyle w:val="BodyBullet1"/>
      </w:pPr>
      <w:r>
        <w:t>Extent of impact</w:t>
      </w:r>
    </w:p>
    <w:p w14:paraId="0BC192C5" w14:textId="77777777" w:rsidR="00547D6A" w:rsidRPr="00547D6A" w:rsidRDefault="00547D6A" w:rsidP="003104A8">
      <w:pPr>
        <w:pStyle w:val="BodyBullet1"/>
      </w:pPr>
      <w:r>
        <w:t>Severity of impact</w:t>
      </w:r>
    </w:p>
    <w:p w14:paraId="1C283E19" w14:textId="77777777" w:rsidR="00547D6A" w:rsidRPr="00547D6A" w:rsidRDefault="00547D6A" w:rsidP="003104A8">
      <w:pPr>
        <w:pStyle w:val="BodyBullet1"/>
      </w:pPr>
      <w:r>
        <w:t>Duration of threat.</w:t>
      </w:r>
    </w:p>
    <w:p w14:paraId="4EE31734" w14:textId="1C98DF82" w:rsidR="00547D6A" w:rsidRPr="00547D6A" w:rsidRDefault="00547D6A" w:rsidP="00E072DB">
      <w:pPr>
        <w:pStyle w:val="BodyText"/>
      </w:pPr>
      <w:r>
        <w:t xml:space="preserve">The </w:t>
      </w:r>
      <w:r w:rsidRPr="00E072DB">
        <w:t>consequence</w:t>
      </w:r>
      <w:r>
        <w:t xml:space="preserve"> rating criteria </w:t>
      </w:r>
      <w:r w:rsidR="00981C8C">
        <w:t>was</w:t>
      </w:r>
      <w:r>
        <w:t xml:space="preserve"> developed using levels and descriptions outlined </w:t>
      </w:r>
      <w:r w:rsidR="006C635B">
        <w:t>in</w:t>
      </w:r>
      <w:r>
        <w:t xml:space="preserve"> the framework in </w:t>
      </w:r>
      <w:r w:rsidRPr="00547D6A">
        <w:fldChar w:fldCharType="begin"/>
      </w:r>
      <w:r w:rsidRPr="00547D6A">
        <w:instrText xml:space="preserve"> REF _Ref46262548 \h  \* MERGEFORMAT </w:instrText>
      </w:r>
      <w:r w:rsidRPr="00547D6A">
        <w:fldChar w:fldCharType="separate"/>
      </w:r>
      <w:r w:rsidR="007D394B">
        <w:t>Table 5</w:t>
      </w:r>
      <w:r w:rsidR="007D394B" w:rsidRPr="00547D6A">
        <w:noBreakHyphen/>
      </w:r>
      <w:r w:rsidR="007D394B">
        <w:t>2</w:t>
      </w:r>
      <w:r w:rsidRPr="00547D6A">
        <w:fldChar w:fldCharType="end"/>
      </w:r>
      <w:r w:rsidRPr="00547D6A">
        <w:t>. Where there was uncertainty or incomplete information, a conservative assessment was made on the basis of the maximum credible consequence.</w:t>
      </w:r>
      <w:r w:rsidR="002F1151">
        <w:t xml:space="preserve"> The consequence criteria </w:t>
      </w:r>
      <w:proofErr w:type="gramStart"/>
      <w:r w:rsidR="00981C8C">
        <w:t>was</w:t>
      </w:r>
      <w:proofErr w:type="gramEnd"/>
      <w:r w:rsidR="002F1151">
        <w:t xml:space="preserve"> refined to the conditions of specific disciplines, where required.</w:t>
      </w:r>
    </w:p>
    <w:p w14:paraId="78FE02B9" w14:textId="61C6985B" w:rsidR="00547D6A" w:rsidRDefault="00547D6A" w:rsidP="00547D6A">
      <w:pPr>
        <w:pStyle w:val="Caption"/>
      </w:pPr>
      <w:bookmarkStart w:id="59" w:name="_Ref46262548"/>
      <w:bookmarkStart w:id="60" w:name="_Ref45191956"/>
      <w:r>
        <w:t>Table</w:t>
      </w:r>
      <w:r w:rsidR="003C78E5">
        <w:t> </w:t>
      </w:r>
      <w:fldSimple w:instr=" STYLEREF 1 \s ">
        <w:r w:rsidR="007D394B">
          <w:rPr>
            <w:noProof/>
          </w:rPr>
          <w:t>5</w:t>
        </w:r>
      </w:fldSimple>
      <w:r w:rsidRPr="00547D6A">
        <w:noBreakHyphen/>
      </w:r>
      <w:fldSimple w:instr=" SEQ Table \* ARABIC \s 1 ">
        <w:r w:rsidR="007D394B">
          <w:rPr>
            <w:noProof/>
          </w:rPr>
          <w:t>2</w:t>
        </w:r>
      </w:fldSimple>
      <w:bookmarkEnd w:id="59"/>
      <w:bookmarkEnd w:id="60"/>
      <w:r w:rsidRPr="00547D6A">
        <w:tab/>
        <w:t>Consequence rating approach</w:t>
      </w:r>
    </w:p>
    <w:tbl>
      <w:tblPr>
        <w:tblStyle w:val="MainTableStyle"/>
        <w:tblW w:w="0" w:type="auto"/>
        <w:tblLayout w:type="fixed"/>
        <w:tblLook w:val="04A0" w:firstRow="1" w:lastRow="0" w:firstColumn="1" w:lastColumn="0" w:noHBand="0" w:noVBand="1"/>
      </w:tblPr>
      <w:tblGrid>
        <w:gridCol w:w="1271"/>
        <w:gridCol w:w="7789"/>
      </w:tblGrid>
      <w:tr w:rsidR="00500036" w:rsidRPr="004B26EA" w14:paraId="698ECCB2" w14:textId="77777777" w:rsidTr="00E61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C48107E" w14:textId="28BF9D96" w:rsidR="00500036" w:rsidRPr="00500036" w:rsidRDefault="00500036" w:rsidP="00500036">
            <w:pPr>
              <w:pStyle w:val="TableText"/>
            </w:pPr>
            <w:r w:rsidRPr="00547D6A">
              <w:t>Level</w:t>
            </w:r>
          </w:p>
        </w:tc>
        <w:tc>
          <w:tcPr>
            <w:tcW w:w="7789" w:type="dxa"/>
          </w:tcPr>
          <w:p w14:paraId="73ADB1E6" w14:textId="5A0D5670" w:rsidR="00500036" w:rsidRPr="004B26EA" w:rsidRDefault="00500036" w:rsidP="00500036">
            <w:pPr>
              <w:pStyle w:val="TableText"/>
              <w:cnfStyle w:val="100000000000" w:firstRow="1" w:lastRow="0" w:firstColumn="0" w:lastColumn="0" w:oddVBand="0" w:evenVBand="0" w:oddHBand="0" w:evenHBand="0" w:firstRowFirstColumn="0" w:firstRowLastColumn="0" w:lastRowFirstColumn="0" w:lastRowLastColumn="0"/>
              <w:rPr>
                <w:lang w:val="fr-FR"/>
              </w:rPr>
            </w:pPr>
            <w:r w:rsidRPr="004B26EA">
              <w:rPr>
                <w:lang w:val="fr-FR"/>
              </w:rPr>
              <w:t>Qualitative and/or quantitative description</w:t>
            </w:r>
          </w:p>
        </w:tc>
      </w:tr>
      <w:tr w:rsidR="00500036" w14:paraId="7F7442C5" w14:textId="77777777" w:rsidTr="00E613EA">
        <w:tc>
          <w:tcPr>
            <w:cnfStyle w:val="001000000000" w:firstRow="0" w:lastRow="0" w:firstColumn="1" w:lastColumn="0" w:oddVBand="0" w:evenVBand="0" w:oddHBand="0" w:evenHBand="0" w:firstRowFirstColumn="0" w:firstRowLastColumn="0" w:lastRowFirstColumn="0" w:lastRowLastColumn="0"/>
            <w:tcW w:w="1271" w:type="dxa"/>
          </w:tcPr>
          <w:p w14:paraId="264FCA84" w14:textId="4CB9E373" w:rsidR="00500036" w:rsidRPr="00E613EA" w:rsidRDefault="00500036" w:rsidP="00500036">
            <w:pPr>
              <w:pStyle w:val="TableText"/>
            </w:pPr>
            <w:r w:rsidRPr="00E613EA">
              <w:t>Insignificant</w:t>
            </w:r>
          </w:p>
        </w:tc>
        <w:tc>
          <w:tcPr>
            <w:tcW w:w="7789" w:type="dxa"/>
          </w:tcPr>
          <w:p w14:paraId="125787AD" w14:textId="747BF121" w:rsidR="00500036" w:rsidRPr="00E613EA" w:rsidRDefault="00500036" w:rsidP="00500036">
            <w:pPr>
              <w:pStyle w:val="TableText"/>
              <w:cnfStyle w:val="000000000000" w:firstRow="0" w:lastRow="0" w:firstColumn="0" w:lastColumn="0" w:oddVBand="0" w:evenVBand="0" w:oddHBand="0" w:evenHBand="0" w:firstRowFirstColumn="0" w:firstRowLastColumn="0" w:lastRowFirstColumn="0" w:lastRowLastColumn="0"/>
            </w:pPr>
            <w:r w:rsidRPr="00E613EA">
              <w:t xml:space="preserve">Negligible overall impact or no </w:t>
            </w:r>
            <w:r w:rsidR="001B78C4" w:rsidRPr="00E613EA">
              <w:t xml:space="preserve">detectable </w:t>
            </w:r>
            <w:r w:rsidRPr="00E613EA">
              <w:t xml:space="preserve">impact on identified asset, </w:t>
            </w:r>
            <w:proofErr w:type="gramStart"/>
            <w:r w:rsidRPr="00E613EA">
              <w:t>value</w:t>
            </w:r>
            <w:proofErr w:type="gramEnd"/>
            <w:r w:rsidRPr="00E613EA">
              <w:t xml:space="preserve"> or use.</w:t>
            </w:r>
            <w:r w:rsidRPr="00E613EA">
              <w:br w:type="page"/>
            </w:r>
            <w:r w:rsidRPr="00E613EA">
              <w:br w:type="page"/>
            </w:r>
          </w:p>
          <w:p w14:paraId="5E18FB79" w14:textId="27B0CC6D" w:rsidR="00500036" w:rsidRPr="00E613EA" w:rsidRDefault="00500036" w:rsidP="00500036">
            <w:pPr>
              <w:pStyle w:val="TableText"/>
              <w:cnfStyle w:val="000000000000" w:firstRow="0" w:lastRow="0" w:firstColumn="0" w:lastColumn="0" w:oddVBand="0" w:evenVBand="0" w:oddHBand="0" w:evenHBand="0" w:firstRowFirstColumn="0" w:firstRowLastColumn="0" w:lastRowFirstColumn="0" w:lastRowLastColumn="0"/>
            </w:pPr>
            <w:r w:rsidRPr="00E613EA">
              <w:t>Discipline specific descriptor provided in each technical report</w:t>
            </w:r>
            <w:r w:rsidR="00E613EA">
              <w:t>.</w:t>
            </w:r>
          </w:p>
        </w:tc>
      </w:tr>
      <w:tr w:rsidR="00500036" w14:paraId="0A6F7237" w14:textId="77777777" w:rsidTr="00E613EA">
        <w:tc>
          <w:tcPr>
            <w:cnfStyle w:val="001000000000" w:firstRow="0" w:lastRow="0" w:firstColumn="1" w:lastColumn="0" w:oddVBand="0" w:evenVBand="0" w:oddHBand="0" w:evenHBand="0" w:firstRowFirstColumn="0" w:firstRowLastColumn="0" w:lastRowFirstColumn="0" w:lastRowLastColumn="0"/>
            <w:tcW w:w="1271" w:type="dxa"/>
          </w:tcPr>
          <w:p w14:paraId="2A327C66" w14:textId="711D4E24" w:rsidR="00500036" w:rsidRPr="00E613EA" w:rsidRDefault="00500036" w:rsidP="00500036">
            <w:pPr>
              <w:pStyle w:val="TableText"/>
            </w:pPr>
            <w:r w:rsidRPr="00E613EA">
              <w:t>Minor</w:t>
            </w:r>
          </w:p>
        </w:tc>
        <w:tc>
          <w:tcPr>
            <w:tcW w:w="7789" w:type="dxa"/>
          </w:tcPr>
          <w:p w14:paraId="0C4BBD4F" w14:textId="048C5D86" w:rsidR="00500036" w:rsidRPr="00E613EA" w:rsidRDefault="00500036" w:rsidP="00500036">
            <w:pPr>
              <w:pStyle w:val="TableText"/>
              <w:cnfStyle w:val="000000000000" w:firstRow="0" w:lastRow="0" w:firstColumn="0" w:lastColumn="0" w:oddVBand="0" w:evenVBand="0" w:oddHBand="0" w:evenHBand="0" w:firstRowFirstColumn="0" w:firstRowLastColumn="0" w:lastRowFirstColumn="0" w:lastRowLastColumn="0"/>
            </w:pPr>
            <w:r w:rsidRPr="00E613EA">
              <w:t>Minor overall impact on existing/potential</w:t>
            </w:r>
            <w:r w:rsidR="001B78C4" w:rsidRPr="00E613EA">
              <w:t xml:space="preserve"> </w:t>
            </w:r>
            <w:r w:rsidRPr="00E613EA">
              <w:t xml:space="preserve">identified asset, </w:t>
            </w:r>
            <w:proofErr w:type="gramStart"/>
            <w:r w:rsidRPr="00E613EA">
              <w:t>value</w:t>
            </w:r>
            <w:proofErr w:type="gramEnd"/>
            <w:r w:rsidRPr="00E613EA">
              <w:t xml:space="preserve"> or use</w:t>
            </w:r>
            <w:r w:rsidR="00AF01FD" w:rsidRPr="00E613EA">
              <w:t>.</w:t>
            </w:r>
          </w:p>
          <w:p w14:paraId="072EF7F7" w14:textId="248FDD78" w:rsidR="001B78C4" w:rsidRPr="00E613EA" w:rsidRDefault="001B78C4" w:rsidP="00500036">
            <w:pPr>
              <w:pStyle w:val="TableText"/>
              <w:cnfStyle w:val="000000000000" w:firstRow="0" w:lastRow="0" w:firstColumn="0" w:lastColumn="0" w:oddVBand="0" w:evenVBand="0" w:oddHBand="0" w:evenHBand="0" w:firstRowFirstColumn="0" w:firstRowLastColumn="0" w:lastRowFirstColumn="0" w:lastRowLastColumn="0"/>
            </w:pPr>
            <w:r w:rsidRPr="00E613EA">
              <w:t xml:space="preserve">Short term (up to </w:t>
            </w:r>
            <w:r w:rsidR="006C635B" w:rsidRPr="00E613EA">
              <w:t>three</w:t>
            </w:r>
            <w:r w:rsidRPr="00E613EA">
              <w:t xml:space="preserve"> months) localised impact which is reversible or within normal range of</w:t>
            </w:r>
            <w:r w:rsidR="00E613EA">
              <w:t> </w:t>
            </w:r>
            <w:r w:rsidRPr="00E613EA">
              <w:t>change</w:t>
            </w:r>
            <w:r w:rsidR="00AF01FD" w:rsidRPr="00E613EA">
              <w:t>.</w:t>
            </w:r>
          </w:p>
          <w:p w14:paraId="6DDB2035" w14:textId="17B84F23" w:rsidR="00500036" w:rsidRPr="00E613EA" w:rsidRDefault="00500036" w:rsidP="00500036">
            <w:pPr>
              <w:pStyle w:val="TableText"/>
              <w:cnfStyle w:val="000000000000" w:firstRow="0" w:lastRow="0" w:firstColumn="0" w:lastColumn="0" w:oddVBand="0" w:evenVBand="0" w:oddHBand="0" w:evenHBand="0" w:firstRowFirstColumn="0" w:firstRowLastColumn="0" w:lastRowFirstColumn="0" w:lastRowLastColumn="0"/>
            </w:pPr>
            <w:r w:rsidRPr="00E613EA">
              <w:t>Discipline specific descriptor provided in each technical report</w:t>
            </w:r>
            <w:r w:rsidR="00AF01FD" w:rsidRPr="00E613EA">
              <w:t>.</w:t>
            </w:r>
          </w:p>
        </w:tc>
      </w:tr>
      <w:tr w:rsidR="00500036" w14:paraId="10ABAA44" w14:textId="77777777" w:rsidTr="00E613EA">
        <w:tc>
          <w:tcPr>
            <w:cnfStyle w:val="001000000000" w:firstRow="0" w:lastRow="0" w:firstColumn="1" w:lastColumn="0" w:oddVBand="0" w:evenVBand="0" w:oddHBand="0" w:evenHBand="0" w:firstRowFirstColumn="0" w:firstRowLastColumn="0" w:lastRowFirstColumn="0" w:lastRowLastColumn="0"/>
            <w:tcW w:w="1271" w:type="dxa"/>
          </w:tcPr>
          <w:p w14:paraId="707D5D40" w14:textId="2AB9AB32" w:rsidR="00500036" w:rsidRPr="00E613EA" w:rsidRDefault="00500036" w:rsidP="00500036">
            <w:pPr>
              <w:pStyle w:val="TableText"/>
            </w:pPr>
            <w:r w:rsidRPr="00E613EA">
              <w:t>Moderate</w:t>
            </w:r>
          </w:p>
        </w:tc>
        <w:tc>
          <w:tcPr>
            <w:tcW w:w="7789" w:type="dxa"/>
          </w:tcPr>
          <w:p w14:paraId="2FE96D44" w14:textId="673677F9" w:rsidR="00500036" w:rsidRPr="00E613EA" w:rsidRDefault="00500036" w:rsidP="00500036">
            <w:pPr>
              <w:pStyle w:val="TableText"/>
              <w:cnfStyle w:val="000000000000" w:firstRow="0" w:lastRow="0" w:firstColumn="0" w:lastColumn="0" w:oddVBand="0" w:evenVBand="0" w:oddHBand="0" w:evenHBand="0" w:firstRowFirstColumn="0" w:firstRowLastColumn="0" w:lastRowFirstColumn="0" w:lastRowLastColumn="0"/>
            </w:pPr>
            <w:r w:rsidRPr="00E613EA">
              <w:t xml:space="preserve">Moderate overall impact on existing/potential identified asset, </w:t>
            </w:r>
            <w:proofErr w:type="gramStart"/>
            <w:r w:rsidRPr="00E613EA">
              <w:t>value</w:t>
            </w:r>
            <w:proofErr w:type="gramEnd"/>
            <w:r w:rsidRPr="00E613EA">
              <w:t xml:space="preserve"> or use</w:t>
            </w:r>
            <w:r w:rsidR="00AF01FD" w:rsidRPr="00E613EA">
              <w:t>.</w:t>
            </w:r>
          </w:p>
          <w:p w14:paraId="4364E130" w14:textId="30F73BA7" w:rsidR="001B78C4" w:rsidRPr="00E613EA" w:rsidRDefault="001B78C4" w:rsidP="00500036">
            <w:pPr>
              <w:pStyle w:val="TableText"/>
              <w:cnfStyle w:val="000000000000" w:firstRow="0" w:lastRow="0" w:firstColumn="0" w:lastColumn="0" w:oddVBand="0" w:evenVBand="0" w:oddHBand="0" w:evenHBand="0" w:firstRowFirstColumn="0" w:firstRowLastColumn="0" w:lastRowFirstColumn="0" w:lastRowLastColumn="0"/>
            </w:pPr>
            <w:r w:rsidRPr="00E613EA">
              <w:t>Longer term (up to 12 months) but limited change to local setting or limited impacts at a regional level</w:t>
            </w:r>
            <w:r w:rsidR="00AF01FD" w:rsidRPr="00E613EA">
              <w:t>.</w:t>
            </w:r>
          </w:p>
          <w:p w14:paraId="146F6613" w14:textId="14C0AC0D" w:rsidR="00500036" w:rsidRPr="00E613EA" w:rsidRDefault="00500036" w:rsidP="00500036">
            <w:pPr>
              <w:pStyle w:val="TableText"/>
              <w:cnfStyle w:val="000000000000" w:firstRow="0" w:lastRow="0" w:firstColumn="0" w:lastColumn="0" w:oddVBand="0" w:evenVBand="0" w:oddHBand="0" w:evenHBand="0" w:firstRowFirstColumn="0" w:firstRowLastColumn="0" w:lastRowFirstColumn="0" w:lastRowLastColumn="0"/>
            </w:pPr>
            <w:r w:rsidRPr="00E613EA">
              <w:t>Discipline specific descriptor provided in each technical report</w:t>
            </w:r>
            <w:r w:rsidR="00AF01FD" w:rsidRPr="00E613EA">
              <w:t>.</w:t>
            </w:r>
          </w:p>
        </w:tc>
      </w:tr>
      <w:tr w:rsidR="00500036" w14:paraId="3F48727B" w14:textId="77777777" w:rsidTr="00E613EA">
        <w:tc>
          <w:tcPr>
            <w:cnfStyle w:val="001000000000" w:firstRow="0" w:lastRow="0" w:firstColumn="1" w:lastColumn="0" w:oddVBand="0" w:evenVBand="0" w:oddHBand="0" w:evenHBand="0" w:firstRowFirstColumn="0" w:firstRowLastColumn="0" w:lastRowFirstColumn="0" w:lastRowLastColumn="0"/>
            <w:tcW w:w="1271" w:type="dxa"/>
          </w:tcPr>
          <w:p w14:paraId="24AFB17F" w14:textId="1FFBF3E0" w:rsidR="00500036" w:rsidRPr="00E613EA" w:rsidRDefault="00500036" w:rsidP="00500036">
            <w:pPr>
              <w:pStyle w:val="TableText"/>
            </w:pPr>
            <w:r w:rsidRPr="00E613EA">
              <w:t>Major</w:t>
            </w:r>
          </w:p>
        </w:tc>
        <w:tc>
          <w:tcPr>
            <w:tcW w:w="7789" w:type="dxa"/>
          </w:tcPr>
          <w:p w14:paraId="2546CD6D" w14:textId="2FA56DEA" w:rsidR="001B78C4" w:rsidRPr="00E613EA" w:rsidRDefault="00500036" w:rsidP="001B78C4">
            <w:pPr>
              <w:pStyle w:val="TableText"/>
              <w:cnfStyle w:val="000000000000" w:firstRow="0" w:lastRow="0" w:firstColumn="0" w:lastColumn="0" w:oddVBand="0" w:evenVBand="0" w:oddHBand="0" w:evenHBand="0" w:firstRowFirstColumn="0" w:firstRowLastColumn="0" w:lastRowFirstColumn="0" w:lastRowLastColumn="0"/>
            </w:pPr>
            <w:r w:rsidRPr="00E613EA">
              <w:t xml:space="preserve">Major overall impact on existing/potential identified asset, </w:t>
            </w:r>
            <w:proofErr w:type="gramStart"/>
            <w:r w:rsidRPr="00E613EA">
              <w:t>value</w:t>
            </w:r>
            <w:proofErr w:type="gramEnd"/>
            <w:r w:rsidRPr="00E613EA">
              <w:t xml:space="preserve"> or use.</w:t>
            </w:r>
            <w:r w:rsidRPr="00E613EA">
              <w:br w:type="page"/>
            </w:r>
            <w:r w:rsidRPr="00E613EA">
              <w:br w:type="page"/>
            </w:r>
          </w:p>
          <w:p w14:paraId="473D61BD" w14:textId="78767768" w:rsidR="001B78C4" w:rsidRPr="00E613EA" w:rsidRDefault="001B78C4" w:rsidP="001B78C4">
            <w:pPr>
              <w:pStyle w:val="TableText"/>
              <w:cnfStyle w:val="000000000000" w:firstRow="0" w:lastRow="0" w:firstColumn="0" w:lastColumn="0" w:oddVBand="0" w:evenVBand="0" w:oddHBand="0" w:evenHBand="0" w:firstRowFirstColumn="0" w:firstRowLastColumn="0" w:lastRowFirstColumn="0" w:lastRowLastColumn="0"/>
            </w:pPr>
            <w:r w:rsidRPr="00E613EA">
              <w:t xml:space="preserve">Long term significant changes at regional or </w:t>
            </w:r>
            <w:r w:rsidR="006C635B" w:rsidRPr="00E613EA">
              <w:t>s</w:t>
            </w:r>
            <w:r w:rsidRPr="00E613EA">
              <w:t>tate level, or limited impacts at a national level</w:t>
            </w:r>
            <w:r w:rsidR="00AF01FD" w:rsidRPr="00E613EA">
              <w:t>.</w:t>
            </w:r>
          </w:p>
          <w:p w14:paraId="033910DC" w14:textId="79C54657" w:rsidR="00500036" w:rsidRPr="00E613EA" w:rsidRDefault="00500036" w:rsidP="00500036">
            <w:pPr>
              <w:pStyle w:val="TableText"/>
              <w:cnfStyle w:val="000000000000" w:firstRow="0" w:lastRow="0" w:firstColumn="0" w:lastColumn="0" w:oddVBand="0" w:evenVBand="0" w:oddHBand="0" w:evenHBand="0" w:firstRowFirstColumn="0" w:firstRowLastColumn="0" w:lastRowFirstColumn="0" w:lastRowLastColumn="0"/>
            </w:pPr>
            <w:r w:rsidRPr="00E613EA">
              <w:t>Discipline specific descriptor provided in each technical report</w:t>
            </w:r>
            <w:r w:rsidR="00AF01FD" w:rsidRPr="00E613EA">
              <w:t>.</w:t>
            </w:r>
          </w:p>
        </w:tc>
      </w:tr>
      <w:tr w:rsidR="00500036" w14:paraId="2B0A84C3" w14:textId="77777777" w:rsidTr="00E613EA">
        <w:tc>
          <w:tcPr>
            <w:cnfStyle w:val="001000000000" w:firstRow="0" w:lastRow="0" w:firstColumn="1" w:lastColumn="0" w:oddVBand="0" w:evenVBand="0" w:oddHBand="0" w:evenHBand="0" w:firstRowFirstColumn="0" w:firstRowLastColumn="0" w:lastRowFirstColumn="0" w:lastRowLastColumn="0"/>
            <w:tcW w:w="1271" w:type="dxa"/>
          </w:tcPr>
          <w:p w14:paraId="595CB91E" w14:textId="0BA3E319" w:rsidR="00500036" w:rsidRPr="00E613EA" w:rsidRDefault="00500036" w:rsidP="00500036">
            <w:pPr>
              <w:pStyle w:val="TableText"/>
            </w:pPr>
            <w:r w:rsidRPr="00E613EA">
              <w:t>Severe</w:t>
            </w:r>
          </w:p>
        </w:tc>
        <w:tc>
          <w:tcPr>
            <w:tcW w:w="7789" w:type="dxa"/>
          </w:tcPr>
          <w:p w14:paraId="294BE344" w14:textId="73CFC2F8" w:rsidR="00500036" w:rsidRPr="00E613EA" w:rsidRDefault="00500036" w:rsidP="00500036">
            <w:pPr>
              <w:pStyle w:val="TableText"/>
              <w:cnfStyle w:val="000000000000" w:firstRow="0" w:lastRow="0" w:firstColumn="0" w:lastColumn="0" w:oddVBand="0" w:evenVBand="0" w:oddHBand="0" w:evenHBand="0" w:firstRowFirstColumn="0" w:firstRowLastColumn="0" w:lastRowFirstColumn="0" w:lastRowLastColumn="0"/>
            </w:pPr>
            <w:r w:rsidRPr="00E613EA">
              <w:t xml:space="preserve">Severe overall impact on existing/potential identified asset, </w:t>
            </w:r>
            <w:proofErr w:type="gramStart"/>
            <w:r w:rsidRPr="00E613EA">
              <w:t>value</w:t>
            </w:r>
            <w:proofErr w:type="gramEnd"/>
            <w:r w:rsidRPr="00E613EA">
              <w:t xml:space="preserve"> or use.</w:t>
            </w:r>
            <w:r w:rsidRPr="00E613EA">
              <w:br w:type="page"/>
            </w:r>
          </w:p>
          <w:p w14:paraId="3257C8C6" w14:textId="04779D68" w:rsidR="001B78C4" w:rsidRPr="00E613EA" w:rsidRDefault="00500036" w:rsidP="004B26EA">
            <w:pPr>
              <w:pStyle w:val="TableText"/>
              <w:cnfStyle w:val="000000000000" w:firstRow="0" w:lastRow="0" w:firstColumn="0" w:lastColumn="0" w:oddVBand="0" w:evenVBand="0" w:oddHBand="0" w:evenHBand="0" w:firstRowFirstColumn="0" w:firstRowLastColumn="0" w:lastRowFirstColumn="0" w:lastRowLastColumn="0"/>
            </w:pPr>
            <w:r w:rsidRPr="00E613EA">
              <w:t>Discipline specific descriptor provided in each technical report</w:t>
            </w:r>
            <w:r w:rsidR="00AF01FD" w:rsidRPr="00E613EA">
              <w:t>.</w:t>
            </w:r>
          </w:p>
          <w:p w14:paraId="55369BF9" w14:textId="7BDE5540" w:rsidR="001B78C4" w:rsidRPr="00E613EA" w:rsidRDefault="001B78C4">
            <w:pPr>
              <w:pStyle w:val="TableText"/>
              <w:cnfStyle w:val="000000000000" w:firstRow="0" w:lastRow="0" w:firstColumn="0" w:lastColumn="0" w:oddVBand="0" w:evenVBand="0" w:oddHBand="0" w:evenHBand="0" w:firstRowFirstColumn="0" w:firstRowLastColumn="0" w:lastRowFirstColumn="0" w:lastRowLastColumn="0"/>
            </w:pPr>
            <w:r w:rsidRPr="00E613EA">
              <w:t>Permanent significant changes or impacts at State or national level</w:t>
            </w:r>
            <w:r w:rsidR="00AF01FD" w:rsidRPr="00E613EA">
              <w:t>.</w:t>
            </w:r>
          </w:p>
        </w:tc>
      </w:tr>
    </w:tbl>
    <w:p w14:paraId="35EAC85F" w14:textId="77777777" w:rsidR="003C78E5" w:rsidRDefault="003C78E5" w:rsidP="00AC57BD">
      <w:pPr>
        <w:pStyle w:val="Source"/>
      </w:pPr>
      <w:r>
        <w:br w:type="page"/>
      </w:r>
    </w:p>
    <w:p w14:paraId="09162706" w14:textId="3E46B899" w:rsidR="001B78C4" w:rsidRPr="00547D6A" w:rsidRDefault="001B78C4" w:rsidP="001B78C4">
      <w:pPr>
        <w:pStyle w:val="Heading4"/>
      </w:pPr>
      <w:r>
        <w:lastRenderedPageBreak/>
        <w:t>Assigning likelihood of risks</w:t>
      </w:r>
    </w:p>
    <w:p w14:paraId="31E3CE06" w14:textId="03768B65" w:rsidR="001B78C4" w:rsidRDefault="001B78C4" w:rsidP="001B78C4">
      <w:pPr>
        <w:pStyle w:val="BodyText"/>
      </w:pPr>
      <w:r>
        <w:t xml:space="preserve">Likelihood refers to the chance of an event happening and the maximum credible consequence occurring from that event. The likelihood approach is presented in </w:t>
      </w:r>
      <w:r>
        <w:fldChar w:fldCharType="begin"/>
      </w:r>
      <w:r>
        <w:instrText xml:space="preserve"> REF _Ref46262531 \h  \* MERGEFORMAT </w:instrText>
      </w:r>
      <w:r>
        <w:fldChar w:fldCharType="separate"/>
      </w:r>
      <w:r w:rsidR="007D394B">
        <w:t>Table 5</w:t>
      </w:r>
      <w:r w:rsidR="007D394B">
        <w:noBreakHyphen/>
        <w:t>3</w:t>
      </w:r>
      <w:r>
        <w:fldChar w:fldCharType="end"/>
      </w:r>
      <w:r>
        <w:t>.</w:t>
      </w:r>
    </w:p>
    <w:p w14:paraId="0B63828A" w14:textId="57475203" w:rsidR="001B78C4" w:rsidRDefault="001B78C4" w:rsidP="001B78C4">
      <w:pPr>
        <w:pStyle w:val="Caption"/>
      </w:pPr>
      <w:bookmarkStart w:id="61" w:name="_Ref46262531"/>
      <w:bookmarkStart w:id="62" w:name="_Ref45192022"/>
      <w:r>
        <w:t>Table</w:t>
      </w:r>
      <w:r w:rsidR="003C78E5">
        <w:t> </w:t>
      </w:r>
      <w:r w:rsidRPr="00547D6A">
        <w:fldChar w:fldCharType="begin"/>
      </w:r>
      <w:r>
        <w:instrText xml:space="preserve"> STYLEREF 1 \s </w:instrText>
      </w:r>
      <w:r w:rsidRPr="00547D6A">
        <w:fldChar w:fldCharType="separate"/>
      </w:r>
      <w:r w:rsidR="007D394B">
        <w:rPr>
          <w:noProof/>
        </w:rPr>
        <w:t>5</w:t>
      </w:r>
      <w:r w:rsidRPr="00547D6A">
        <w:fldChar w:fldCharType="end"/>
      </w:r>
      <w:r>
        <w:noBreakHyphen/>
      </w:r>
      <w:r w:rsidRPr="00547D6A">
        <w:fldChar w:fldCharType="begin"/>
      </w:r>
      <w:r>
        <w:instrText xml:space="preserve"> SEQ Table \* ARABIC \s 1 </w:instrText>
      </w:r>
      <w:r w:rsidRPr="00547D6A">
        <w:fldChar w:fldCharType="separate"/>
      </w:r>
      <w:r w:rsidR="007D394B">
        <w:rPr>
          <w:noProof/>
        </w:rPr>
        <w:t>3</w:t>
      </w:r>
      <w:r w:rsidRPr="00547D6A">
        <w:fldChar w:fldCharType="end"/>
      </w:r>
      <w:bookmarkEnd w:id="61"/>
      <w:bookmarkEnd w:id="62"/>
      <w:r>
        <w:tab/>
        <w:t>Likelihood approach</w:t>
      </w:r>
    </w:p>
    <w:tbl>
      <w:tblPr>
        <w:tblStyle w:val="MainTableStyle"/>
        <w:tblW w:w="0" w:type="auto"/>
        <w:tblLayout w:type="fixed"/>
        <w:tblLook w:val="04A0" w:firstRow="1" w:lastRow="0" w:firstColumn="1" w:lastColumn="0" w:noHBand="0" w:noVBand="1"/>
      </w:tblPr>
      <w:tblGrid>
        <w:gridCol w:w="716"/>
        <w:gridCol w:w="1799"/>
        <w:gridCol w:w="6545"/>
      </w:tblGrid>
      <w:tr w:rsidR="001B78C4" w14:paraId="7DC30FD6" w14:textId="77777777" w:rsidTr="00C31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Pr>
          <w:p w14:paraId="0393B11E" w14:textId="77777777" w:rsidR="001B78C4" w:rsidRPr="001B78C4" w:rsidRDefault="001B78C4" w:rsidP="001B78C4">
            <w:pPr>
              <w:pStyle w:val="TableText"/>
            </w:pPr>
            <w:r w:rsidRPr="00547D6A">
              <w:t>Level</w:t>
            </w:r>
          </w:p>
        </w:tc>
        <w:tc>
          <w:tcPr>
            <w:tcW w:w="1799" w:type="dxa"/>
          </w:tcPr>
          <w:p w14:paraId="53FE7C3A" w14:textId="77777777" w:rsidR="001B78C4" w:rsidRPr="001B78C4" w:rsidRDefault="001B78C4" w:rsidP="001B78C4">
            <w:pPr>
              <w:pStyle w:val="TableText"/>
              <w:cnfStyle w:val="100000000000" w:firstRow="1" w:lastRow="0" w:firstColumn="0" w:lastColumn="0" w:oddVBand="0" w:evenVBand="0" w:oddHBand="0" w:evenHBand="0" w:firstRowFirstColumn="0" w:firstRowLastColumn="0" w:lastRowFirstColumn="0" w:lastRowLastColumn="0"/>
            </w:pPr>
            <w:r w:rsidRPr="00547D6A">
              <w:t>Description</w:t>
            </w:r>
          </w:p>
        </w:tc>
        <w:tc>
          <w:tcPr>
            <w:tcW w:w="6545" w:type="dxa"/>
          </w:tcPr>
          <w:p w14:paraId="64F09CFA" w14:textId="77777777" w:rsidR="001B78C4" w:rsidRPr="001B78C4" w:rsidRDefault="001B78C4" w:rsidP="001B78C4">
            <w:pPr>
              <w:pStyle w:val="TableText"/>
              <w:cnfStyle w:val="100000000000" w:firstRow="1" w:lastRow="0" w:firstColumn="0" w:lastColumn="0" w:oddVBand="0" w:evenVBand="0" w:oddHBand="0" w:evenHBand="0" w:firstRowFirstColumn="0" w:firstRowLastColumn="0" w:lastRowFirstColumn="0" w:lastRowLastColumn="0"/>
            </w:pPr>
            <w:r w:rsidRPr="00547D6A">
              <w:t>Level</w:t>
            </w:r>
          </w:p>
        </w:tc>
      </w:tr>
      <w:tr w:rsidR="001B78C4" w14:paraId="7F30C5E9" w14:textId="77777777" w:rsidTr="00C31631">
        <w:tc>
          <w:tcPr>
            <w:cnfStyle w:val="001000000000" w:firstRow="0" w:lastRow="0" w:firstColumn="1" w:lastColumn="0" w:oddVBand="0" w:evenVBand="0" w:oddHBand="0" w:evenHBand="0" w:firstRowFirstColumn="0" w:firstRowLastColumn="0" w:lastRowFirstColumn="0" w:lastRowLastColumn="0"/>
            <w:tcW w:w="716" w:type="dxa"/>
          </w:tcPr>
          <w:p w14:paraId="3F438FF6" w14:textId="77777777" w:rsidR="001B78C4" w:rsidRPr="001B78C4" w:rsidRDefault="001B78C4" w:rsidP="001B78C4">
            <w:pPr>
              <w:pStyle w:val="TableText"/>
            </w:pPr>
            <w:r w:rsidRPr="00547D6A">
              <w:t>1</w:t>
            </w:r>
          </w:p>
        </w:tc>
        <w:tc>
          <w:tcPr>
            <w:tcW w:w="1799" w:type="dxa"/>
          </w:tcPr>
          <w:p w14:paraId="1DF696BA" w14:textId="77777777" w:rsidR="001B78C4" w:rsidRPr="001B78C4" w:rsidRDefault="001B78C4" w:rsidP="001B78C4">
            <w:pPr>
              <w:pStyle w:val="TableText"/>
              <w:cnfStyle w:val="000000000000" w:firstRow="0" w:lastRow="0" w:firstColumn="0" w:lastColumn="0" w:oddVBand="0" w:evenVBand="0" w:oddHBand="0" w:evenHBand="0" w:firstRowFirstColumn="0" w:firstRowLastColumn="0" w:lastRowFirstColumn="0" w:lastRowLastColumn="0"/>
            </w:pPr>
            <w:r w:rsidRPr="00547D6A">
              <w:t>Rare</w:t>
            </w:r>
          </w:p>
        </w:tc>
        <w:tc>
          <w:tcPr>
            <w:tcW w:w="6545" w:type="dxa"/>
          </w:tcPr>
          <w:p w14:paraId="1801268E" w14:textId="77777777" w:rsidR="001B78C4" w:rsidRPr="003C421E" w:rsidRDefault="001B78C4" w:rsidP="001B78C4">
            <w:pPr>
              <w:pStyle w:val="TableText"/>
              <w:cnfStyle w:val="000000000000" w:firstRow="0" w:lastRow="0" w:firstColumn="0" w:lastColumn="0" w:oddVBand="0" w:evenVBand="0" w:oddHBand="0" w:evenHBand="0" w:firstRowFirstColumn="0" w:firstRowLastColumn="0" w:lastRowFirstColumn="0" w:lastRowLastColumn="0"/>
            </w:pPr>
            <w:r w:rsidRPr="003C421E">
              <w:t>The event is conceivable and may occur only in exceptional circumstances</w:t>
            </w:r>
          </w:p>
        </w:tc>
      </w:tr>
      <w:tr w:rsidR="001B78C4" w14:paraId="2BAA8F6A" w14:textId="77777777" w:rsidTr="00C31631">
        <w:tc>
          <w:tcPr>
            <w:cnfStyle w:val="001000000000" w:firstRow="0" w:lastRow="0" w:firstColumn="1" w:lastColumn="0" w:oddVBand="0" w:evenVBand="0" w:oddHBand="0" w:evenHBand="0" w:firstRowFirstColumn="0" w:firstRowLastColumn="0" w:lastRowFirstColumn="0" w:lastRowLastColumn="0"/>
            <w:tcW w:w="716" w:type="dxa"/>
          </w:tcPr>
          <w:p w14:paraId="0D2581EB" w14:textId="77777777" w:rsidR="001B78C4" w:rsidRPr="001B78C4" w:rsidRDefault="001B78C4" w:rsidP="001B78C4">
            <w:pPr>
              <w:pStyle w:val="TableText"/>
            </w:pPr>
            <w:r w:rsidRPr="00547D6A">
              <w:t>2</w:t>
            </w:r>
          </w:p>
        </w:tc>
        <w:tc>
          <w:tcPr>
            <w:tcW w:w="1799" w:type="dxa"/>
          </w:tcPr>
          <w:p w14:paraId="72F5DB07" w14:textId="77777777" w:rsidR="001B78C4" w:rsidRPr="001B78C4" w:rsidRDefault="001B78C4" w:rsidP="001B78C4">
            <w:pPr>
              <w:pStyle w:val="TableText"/>
              <w:cnfStyle w:val="000000000000" w:firstRow="0" w:lastRow="0" w:firstColumn="0" w:lastColumn="0" w:oddVBand="0" w:evenVBand="0" w:oddHBand="0" w:evenHBand="0" w:firstRowFirstColumn="0" w:firstRowLastColumn="0" w:lastRowFirstColumn="0" w:lastRowLastColumn="0"/>
            </w:pPr>
            <w:r w:rsidRPr="00547D6A">
              <w:t>Remote</w:t>
            </w:r>
          </w:p>
        </w:tc>
        <w:tc>
          <w:tcPr>
            <w:tcW w:w="6545" w:type="dxa"/>
          </w:tcPr>
          <w:p w14:paraId="5CE08065" w14:textId="77777777" w:rsidR="001B78C4" w:rsidRPr="003C421E" w:rsidRDefault="001B78C4" w:rsidP="001B78C4">
            <w:pPr>
              <w:pStyle w:val="TableText"/>
              <w:cnfStyle w:val="000000000000" w:firstRow="0" w:lastRow="0" w:firstColumn="0" w:lastColumn="0" w:oddVBand="0" w:evenVBand="0" w:oddHBand="0" w:evenHBand="0" w:firstRowFirstColumn="0" w:firstRowLastColumn="0" w:lastRowFirstColumn="0" w:lastRowLastColumn="0"/>
            </w:pPr>
            <w:r w:rsidRPr="003C421E">
              <w:t>The event could occur but is not anticipated and may occur if certain abnormal circumstances prevail</w:t>
            </w:r>
          </w:p>
        </w:tc>
      </w:tr>
      <w:tr w:rsidR="001B78C4" w14:paraId="79F2B2B6" w14:textId="77777777" w:rsidTr="00C31631">
        <w:tc>
          <w:tcPr>
            <w:cnfStyle w:val="001000000000" w:firstRow="0" w:lastRow="0" w:firstColumn="1" w:lastColumn="0" w:oddVBand="0" w:evenVBand="0" w:oddHBand="0" w:evenHBand="0" w:firstRowFirstColumn="0" w:firstRowLastColumn="0" w:lastRowFirstColumn="0" w:lastRowLastColumn="0"/>
            <w:tcW w:w="716" w:type="dxa"/>
          </w:tcPr>
          <w:p w14:paraId="494C9E7D" w14:textId="77777777" w:rsidR="001B78C4" w:rsidRPr="001B78C4" w:rsidRDefault="001B78C4" w:rsidP="001B78C4">
            <w:pPr>
              <w:pStyle w:val="TableText"/>
            </w:pPr>
            <w:r w:rsidRPr="00547D6A">
              <w:t>3</w:t>
            </w:r>
          </w:p>
        </w:tc>
        <w:tc>
          <w:tcPr>
            <w:tcW w:w="1799" w:type="dxa"/>
          </w:tcPr>
          <w:p w14:paraId="1B68F81B" w14:textId="77777777" w:rsidR="001B78C4" w:rsidRPr="001B78C4" w:rsidRDefault="001B78C4" w:rsidP="001B78C4">
            <w:pPr>
              <w:pStyle w:val="TableText"/>
              <w:cnfStyle w:val="000000000000" w:firstRow="0" w:lastRow="0" w:firstColumn="0" w:lastColumn="0" w:oddVBand="0" w:evenVBand="0" w:oddHBand="0" w:evenHBand="0" w:firstRowFirstColumn="0" w:firstRowLastColumn="0" w:lastRowFirstColumn="0" w:lastRowLastColumn="0"/>
            </w:pPr>
            <w:r w:rsidRPr="00547D6A">
              <w:t>Unlikely</w:t>
            </w:r>
          </w:p>
        </w:tc>
        <w:tc>
          <w:tcPr>
            <w:tcW w:w="6545" w:type="dxa"/>
          </w:tcPr>
          <w:p w14:paraId="2502DD5B" w14:textId="77777777" w:rsidR="001B78C4" w:rsidRPr="003C421E" w:rsidRDefault="001B78C4" w:rsidP="001B78C4">
            <w:pPr>
              <w:pStyle w:val="TableText"/>
              <w:cnfStyle w:val="000000000000" w:firstRow="0" w:lastRow="0" w:firstColumn="0" w:lastColumn="0" w:oddVBand="0" w:evenVBand="0" w:oddHBand="0" w:evenHBand="0" w:firstRowFirstColumn="0" w:firstRowLastColumn="0" w:lastRowFirstColumn="0" w:lastRowLastColumn="0"/>
            </w:pPr>
            <w:r w:rsidRPr="003C421E">
              <w:t>The event is unlikely but could occur if certain circumstances prevail</w:t>
            </w:r>
          </w:p>
        </w:tc>
      </w:tr>
      <w:tr w:rsidR="001B78C4" w14:paraId="589FBEA9" w14:textId="77777777" w:rsidTr="00C31631">
        <w:tc>
          <w:tcPr>
            <w:cnfStyle w:val="001000000000" w:firstRow="0" w:lastRow="0" w:firstColumn="1" w:lastColumn="0" w:oddVBand="0" w:evenVBand="0" w:oddHBand="0" w:evenHBand="0" w:firstRowFirstColumn="0" w:firstRowLastColumn="0" w:lastRowFirstColumn="0" w:lastRowLastColumn="0"/>
            <w:tcW w:w="716" w:type="dxa"/>
          </w:tcPr>
          <w:p w14:paraId="6EBEFB55" w14:textId="77777777" w:rsidR="001B78C4" w:rsidRPr="001B78C4" w:rsidRDefault="001B78C4" w:rsidP="001B78C4">
            <w:pPr>
              <w:pStyle w:val="TableText"/>
            </w:pPr>
            <w:r w:rsidRPr="00547D6A">
              <w:t>4</w:t>
            </w:r>
          </w:p>
        </w:tc>
        <w:tc>
          <w:tcPr>
            <w:tcW w:w="1799" w:type="dxa"/>
          </w:tcPr>
          <w:p w14:paraId="2FBCD89A" w14:textId="1E5C6879" w:rsidR="001B78C4" w:rsidRPr="001B78C4" w:rsidRDefault="00BD1103" w:rsidP="001B78C4">
            <w:pPr>
              <w:pStyle w:val="TableText"/>
              <w:cnfStyle w:val="000000000000" w:firstRow="0" w:lastRow="0" w:firstColumn="0" w:lastColumn="0" w:oddVBand="0" w:evenVBand="0" w:oddHBand="0" w:evenHBand="0" w:firstRowFirstColumn="0" w:firstRowLastColumn="0" w:lastRowFirstColumn="0" w:lastRowLastColumn="0"/>
            </w:pPr>
            <w:r>
              <w:t>Likely</w:t>
            </w:r>
          </w:p>
        </w:tc>
        <w:tc>
          <w:tcPr>
            <w:tcW w:w="6545" w:type="dxa"/>
          </w:tcPr>
          <w:p w14:paraId="7ACE54FF" w14:textId="77777777" w:rsidR="001B78C4" w:rsidRPr="003C421E" w:rsidRDefault="001B78C4" w:rsidP="001B78C4">
            <w:pPr>
              <w:pStyle w:val="TableText"/>
              <w:cnfStyle w:val="000000000000" w:firstRow="0" w:lastRow="0" w:firstColumn="0" w:lastColumn="0" w:oddVBand="0" w:evenVBand="0" w:oddHBand="0" w:evenHBand="0" w:firstRowFirstColumn="0" w:firstRowLastColumn="0" w:lastRowFirstColumn="0" w:lastRowLastColumn="0"/>
            </w:pPr>
            <w:r w:rsidRPr="003C421E">
              <w:t>The event will probably occur in most circumstances</w:t>
            </w:r>
          </w:p>
        </w:tc>
      </w:tr>
      <w:tr w:rsidR="001B78C4" w14:paraId="05EBE174" w14:textId="77777777" w:rsidTr="00C31631">
        <w:tc>
          <w:tcPr>
            <w:cnfStyle w:val="001000000000" w:firstRow="0" w:lastRow="0" w:firstColumn="1" w:lastColumn="0" w:oddVBand="0" w:evenVBand="0" w:oddHBand="0" w:evenHBand="0" w:firstRowFirstColumn="0" w:firstRowLastColumn="0" w:lastRowFirstColumn="0" w:lastRowLastColumn="0"/>
            <w:tcW w:w="716" w:type="dxa"/>
          </w:tcPr>
          <w:p w14:paraId="03623556" w14:textId="77777777" w:rsidR="001B78C4" w:rsidRPr="001B78C4" w:rsidRDefault="001B78C4" w:rsidP="001B78C4">
            <w:pPr>
              <w:pStyle w:val="TableText"/>
            </w:pPr>
            <w:r w:rsidRPr="00547D6A">
              <w:t>5</w:t>
            </w:r>
          </w:p>
        </w:tc>
        <w:tc>
          <w:tcPr>
            <w:tcW w:w="1799" w:type="dxa"/>
          </w:tcPr>
          <w:p w14:paraId="69A4D2D8" w14:textId="5A20AEBD" w:rsidR="001B78C4" w:rsidRPr="001B78C4" w:rsidRDefault="00BD1103" w:rsidP="001B78C4">
            <w:pPr>
              <w:pStyle w:val="TableText"/>
              <w:cnfStyle w:val="000000000000" w:firstRow="0" w:lastRow="0" w:firstColumn="0" w:lastColumn="0" w:oddVBand="0" w:evenVBand="0" w:oddHBand="0" w:evenHBand="0" w:firstRowFirstColumn="0" w:firstRowLastColumn="0" w:lastRowFirstColumn="0" w:lastRowLastColumn="0"/>
            </w:pPr>
            <w:r>
              <w:t>Almost certain</w:t>
            </w:r>
          </w:p>
        </w:tc>
        <w:tc>
          <w:tcPr>
            <w:tcW w:w="6545" w:type="dxa"/>
          </w:tcPr>
          <w:p w14:paraId="7339A7EB" w14:textId="77777777" w:rsidR="001B78C4" w:rsidRPr="003C421E" w:rsidRDefault="001B78C4" w:rsidP="001B78C4">
            <w:pPr>
              <w:pStyle w:val="TableText"/>
              <w:cnfStyle w:val="000000000000" w:firstRow="0" w:lastRow="0" w:firstColumn="0" w:lastColumn="0" w:oddVBand="0" w:evenVBand="0" w:oddHBand="0" w:evenHBand="0" w:firstRowFirstColumn="0" w:firstRowLastColumn="0" w:lastRowFirstColumn="0" w:lastRowLastColumn="0"/>
            </w:pPr>
            <w:r w:rsidRPr="003C421E">
              <w:t>The event is expected to occur in most circumstances or is planned to occur</w:t>
            </w:r>
          </w:p>
        </w:tc>
      </w:tr>
    </w:tbl>
    <w:p w14:paraId="770E83CC" w14:textId="77777777" w:rsidR="003C78E5" w:rsidRDefault="003C78E5" w:rsidP="003C78E5">
      <w:pPr>
        <w:pStyle w:val="Source"/>
      </w:pPr>
    </w:p>
    <w:p w14:paraId="7924CA0B" w14:textId="2E5B13AC" w:rsidR="00547D6A" w:rsidRPr="00547D6A" w:rsidRDefault="00547D6A" w:rsidP="00547D6A">
      <w:pPr>
        <w:pStyle w:val="Heading4"/>
      </w:pPr>
      <w:r>
        <w:t>Risk matrix</w:t>
      </w:r>
    </w:p>
    <w:p w14:paraId="13680701" w14:textId="0887A78B" w:rsidR="00547D6A" w:rsidRDefault="00547D6A" w:rsidP="00547D6A">
      <w:pPr>
        <w:pStyle w:val="BodyText"/>
      </w:pPr>
      <w:r>
        <w:t xml:space="preserve">Together the consequence and likelihood are combined to determine a risk rating for the identified risks, as shown in </w:t>
      </w:r>
      <w:r>
        <w:fldChar w:fldCharType="begin"/>
      </w:r>
      <w:r>
        <w:instrText xml:space="preserve"> REF _Ref46262590 \h  \* MERGEFORMAT </w:instrText>
      </w:r>
      <w:r>
        <w:fldChar w:fldCharType="separate"/>
      </w:r>
      <w:r w:rsidR="007D394B">
        <w:t>Table 5</w:t>
      </w:r>
      <w:r w:rsidR="007D394B">
        <w:noBreakHyphen/>
        <w:t>4</w:t>
      </w:r>
      <w:r>
        <w:fldChar w:fldCharType="end"/>
      </w:r>
      <w:r>
        <w:t>.</w:t>
      </w:r>
      <w:r w:rsidR="00BF021B">
        <w:t xml:space="preserve"> </w:t>
      </w:r>
    </w:p>
    <w:p w14:paraId="18E16059" w14:textId="3464299F" w:rsidR="00547D6A" w:rsidRDefault="00547D6A" w:rsidP="00547D6A">
      <w:pPr>
        <w:pStyle w:val="Caption"/>
      </w:pPr>
      <w:bookmarkStart w:id="63" w:name="_Ref46262590"/>
      <w:bookmarkStart w:id="64" w:name="_Ref45192348"/>
      <w:r>
        <w:t>Table</w:t>
      </w:r>
      <w:r w:rsidR="00C31631">
        <w:t> </w:t>
      </w:r>
      <w:r w:rsidRPr="00547D6A">
        <w:fldChar w:fldCharType="begin"/>
      </w:r>
      <w:r>
        <w:instrText xml:space="preserve"> STYLEREF 1 \s </w:instrText>
      </w:r>
      <w:r w:rsidRPr="00547D6A">
        <w:fldChar w:fldCharType="separate"/>
      </w:r>
      <w:r w:rsidR="007D394B">
        <w:rPr>
          <w:noProof/>
        </w:rPr>
        <w:t>5</w:t>
      </w:r>
      <w:r w:rsidRPr="00547D6A">
        <w:fldChar w:fldCharType="end"/>
      </w:r>
      <w:r>
        <w:noBreakHyphen/>
      </w:r>
      <w:r w:rsidRPr="00547D6A">
        <w:fldChar w:fldCharType="begin"/>
      </w:r>
      <w:r>
        <w:instrText xml:space="preserve"> SEQ Table \* ARABIC \s 1 </w:instrText>
      </w:r>
      <w:r w:rsidRPr="00547D6A">
        <w:fldChar w:fldCharType="separate"/>
      </w:r>
      <w:r w:rsidR="007D394B">
        <w:rPr>
          <w:noProof/>
        </w:rPr>
        <w:t>4</w:t>
      </w:r>
      <w:r w:rsidRPr="00547D6A">
        <w:fldChar w:fldCharType="end"/>
      </w:r>
      <w:bookmarkEnd w:id="63"/>
      <w:bookmarkEnd w:id="64"/>
      <w:r>
        <w:tab/>
        <w:t>Risk rating approach</w:t>
      </w:r>
    </w:p>
    <w:tbl>
      <w:tblPr>
        <w:tblW w:w="0" w:type="auto"/>
        <w:tblLayout w:type="fixed"/>
        <w:tblLook w:val="04A0" w:firstRow="1" w:lastRow="0" w:firstColumn="1" w:lastColumn="0" w:noHBand="0" w:noVBand="1"/>
      </w:tblPr>
      <w:tblGrid>
        <w:gridCol w:w="1223"/>
        <w:gridCol w:w="1247"/>
        <w:gridCol w:w="1372"/>
        <w:gridCol w:w="1372"/>
        <w:gridCol w:w="1275"/>
        <w:gridCol w:w="1372"/>
        <w:gridCol w:w="1204"/>
      </w:tblGrid>
      <w:tr w:rsidR="00547D6A" w:rsidRPr="00B824DA" w14:paraId="4097A916" w14:textId="77777777" w:rsidTr="003C78E5">
        <w:trPr>
          <w:trHeight w:val="417"/>
        </w:trPr>
        <w:tc>
          <w:tcPr>
            <w:tcW w:w="1223" w:type="dxa"/>
            <w:shd w:val="clear" w:color="auto" w:fill="auto"/>
          </w:tcPr>
          <w:p w14:paraId="1939E58A" w14:textId="77777777" w:rsidR="00547D6A" w:rsidRPr="00547D6A" w:rsidRDefault="00547D6A" w:rsidP="00500036">
            <w:pPr>
              <w:pStyle w:val="TableText"/>
            </w:pPr>
          </w:p>
        </w:tc>
        <w:tc>
          <w:tcPr>
            <w:tcW w:w="1247" w:type="dxa"/>
            <w:tcBorders>
              <w:right w:val="single" w:sz="4" w:space="0" w:color="auto"/>
            </w:tcBorders>
            <w:shd w:val="clear" w:color="auto" w:fill="auto"/>
            <w:vAlign w:val="center"/>
          </w:tcPr>
          <w:p w14:paraId="5D27A33E" w14:textId="77777777" w:rsidR="00547D6A" w:rsidRPr="008C4861" w:rsidRDefault="00547D6A" w:rsidP="00500036">
            <w:pPr>
              <w:pStyle w:val="TableText"/>
              <w:rPr>
                <w:color w:val="FFFFFF" w:themeColor="background1"/>
              </w:rPr>
            </w:pPr>
          </w:p>
        </w:tc>
        <w:tc>
          <w:tcPr>
            <w:tcW w:w="6595" w:type="dxa"/>
            <w:gridSpan w:val="5"/>
            <w:tcBorders>
              <w:top w:val="single" w:sz="4" w:space="0" w:color="auto"/>
              <w:left w:val="single" w:sz="4" w:space="0" w:color="auto"/>
              <w:bottom w:val="single" w:sz="4" w:space="0" w:color="auto"/>
              <w:right w:val="single" w:sz="4" w:space="0" w:color="auto"/>
            </w:tcBorders>
            <w:shd w:val="clear" w:color="auto" w:fill="1C4483" w:themeFill="accent1"/>
            <w:noWrap/>
            <w:vAlign w:val="center"/>
          </w:tcPr>
          <w:p w14:paraId="54AE5FA2" w14:textId="77777777" w:rsidR="00547D6A" w:rsidRPr="008C4861" w:rsidRDefault="00547D6A" w:rsidP="00C31631">
            <w:pPr>
              <w:pStyle w:val="TableText"/>
              <w:jc w:val="center"/>
              <w:rPr>
                <w:color w:val="FFFFFF" w:themeColor="background1"/>
              </w:rPr>
            </w:pPr>
            <w:r w:rsidRPr="008C4861">
              <w:rPr>
                <w:color w:val="FFFFFF" w:themeColor="background1"/>
              </w:rPr>
              <w:t>Consequence rating</w:t>
            </w:r>
          </w:p>
        </w:tc>
      </w:tr>
      <w:tr w:rsidR="00547D6A" w:rsidRPr="00B824DA" w14:paraId="312FB030" w14:textId="77777777" w:rsidTr="003C78E5">
        <w:trPr>
          <w:trHeight w:val="444"/>
        </w:trPr>
        <w:tc>
          <w:tcPr>
            <w:tcW w:w="1223" w:type="dxa"/>
            <w:tcBorders>
              <w:bottom w:val="single" w:sz="4" w:space="0" w:color="auto"/>
            </w:tcBorders>
            <w:shd w:val="clear" w:color="auto" w:fill="auto"/>
          </w:tcPr>
          <w:p w14:paraId="153E85AA" w14:textId="77777777" w:rsidR="00547D6A" w:rsidRPr="00547D6A" w:rsidRDefault="00547D6A" w:rsidP="00500036">
            <w:pPr>
              <w:pStyle w:val="TableText"/>
            </w:pPr>
          </w:p>
        </w:tc>
        <w:tc>
          <w:tcPr>
            <w:tcW w:w="1247" w:type="dxa"/>
            <w:tcBorders>
              <w:bottom w:val="single" w:sz="4" w:space="0" w:color="auto"/>
              <w:right w:val="single" w:sz="4" w:space="0" w:color="auto"/>
            </w:tcBorders>
            <w:shd w:val="clear" w:color="auto" w:fill="auto"/>
            <w:vAlign w:val="center"/>
          </w:tcPr>
          <w:p w14:paraId="1A9A87FA" w14:textId="77777777" w:rsidR="00547D6A" w:rsidRPr="00547D6A" w:rsidRDefault="00547D6A" w:rsidP="00500036">
            <w:pPr>
              <w:pStyle w:val="TableText"/>
            </w:pPr>
          </w:p>
        </w:tc>
        <w:tc>
          <w:tcPr>
            <w:tcW w:w="1372"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355F44A8" w14:textId="77777777" w:rsidR="00547D6A" w:rsidRPr="00547D6A" w:rsidRDefault="00547D6A" w:rsidP="00C31631">
            <w:pPr>
              <w:pStyle w:val="TableText"/>
              <w:jc w:val="center"/>
            </w:pPr>
            <w:r w:rsidRPr="00547D6A">
              <w:t>Insignificant</w:t>
            </w:r>
          </w:p>
        </w:tc>
        <w:tc>
          <w:tcPr>
            <w:tcW w:w="1372"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22D9BBC6" w14:textId="77777777" w:rsidR="00547D6A" w:rsidRPr="00547D6A" w:rsidRDefault="00547D6A" w:rsidP="00C31631">
            <w:pPr>
              <w:pStyle w:val="TableText"/>
              <w:jc w:val="center"/>
            </w:pPr>
            <w:r w:rsidRPr="00547D6A">
              <w:t>Minor</w:t>
            </w:r>
          </w:p>
        </w:tc>
        <w:tc>
          <w:tcPr>
            <w:tcW w:w="1275"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16054D22" w14:textId="77777777" w:rsidR="00547D6A" w:rsidRPr="00547D6A" w:rsidRDefault="00547D6A" w:rsidP="00C31631">
            <w:pPr>
              <w:pStyle w:val="TableText"/>
              <w:jc w:val="center"/>
            </w:pPr>
            <w:r w:rsidRPr="00547D6A">
              <w:t>Moderate</w:t>
            </w:r>
          </w:p>
        </w:tc>
        <w:tc>
          <w:tcPr>
            <w:tcW w:w="1372"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646CDFA6" w14:textId="77777777" w:rsidR="00547D6A" w:rsidRPr="00547D6A" w:rsidRDefault="00547D6A" w:rsidP="00C31631">
            <w:pPr>
              <w:pStyle w:val="TableText"/>
              <w:jc w:val="center"/>
            </w:pPr>
            <w:r w:rsidRPr="00547D6A">
              <w:t>Major</w:t>
            </w:r>
          </w:p>
        </w:tc>
        <w:tc>
          <w:tcPr>
            <w:tcW w:w="1204"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3FCCDC64" w14:textId="77777777" w:rsidR="00547D6A" w:rsidRPr="00547D6A" w:rsidRDefault="00547D6A" w:rsidP="00C31631">
            <w:pPr>
              <w:pStyle w:val="TableText"/>
              <w:jc w:val="center"/>
            </w:pPr>
            <w:r w:rsidRPr="00547D6A">
              <w:t>Severe</w:t>
            </w:r>
          </w:p>
        </w:tc>
      </w:tr>
      <w:tr w:rsidR="00547D6A" w:rsidRPr="00B824DA" w14:paraId="07C699DD" w14:textId="77777777" w:rsidTr="003C78E5">
        <w:trPr>
          <w:trHeight w:val="745"/>
        </w:trPr>
        <w:tc>
          <w:tcPr>
            <w:tcW w:w="1223" w:type="dxa"/>
            <w:vMerge w:val="restart"/>
            <w:tcBorders>
              <w:top w:val="single" w:sz="4" w:space="0" w:color="auto"/>
              <w:left w:val="single" w:sz="4" w:space="0" w:color="auto"/>
              <w:right w:val="single" w:sz="4" w:space="0" w:color="auto"/>
            </w:tcBorders>
            <w:shd w:val="clear" w:color="auto" w:fill="1C4483" w:themeFill="accent1"/>
            <w:vAlign w:val="center"/>
          </w:tcPr>
          <w:p w14:paraId="0D86DC56" w14:textId="77777777" w:rsidR="00547D6A" w:rsidRPr="00547D6A" w:rsidRDefault="00547D6A" w:rsidP="00500036">
            <w:pPr>
              <w:pStyle w:val="TableText"/>
            </w:pPr>
            <w:r w:rsidRPr="008C4861">
              <w:rPr>
                <w:color w:val="FFFFFF" w:themeColor="background1"/>
              </w:rPr>
              <w:t>Likelihood rating</w:t>
            </w:r>
          </w:p>
        </w:tc>
        <w:tc>
          <w:tcPr>
            <w:tcW w:w="1247"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09BF79E1" w14:textId="32DC7F1F" w:rsidR="00547D6A" w:rsidRPr="00547D6A" w:rsidRDefault="00953C10" w:rsidP="00500036">
            <w:pPr>
              <w:pStyle w:val="TableText"/>
            </w:pPr>
            <w:r>
              <w:t>Almost certain</w:t>
            </w:r>
          </w:p>
        </w:tc>
        <w:tc>
          <w:tcPr>
            <w:tcW w:w="137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1B36DC7" w14:textId="77777777" w:rsidR="00547D6A" w:rsidRPr="00547D6A" w:rsidRDefault="00547D6A" w:rsidP="00C31631">
            <w:pPr>
              <w:pStyle w:val="TableText"/>
              <w:jc w:val="center"/>
            </w:pPr>
            <w:r w:rsidRPr="00547D6A">
              <w:t>Low</w:t>
            </w:r>
          </w:p>
        </w:tc>
        <w:tc>
          <w:tcPr>
            <w:tcW w:w="137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B87383F" w14:textId="77777777" w:rsidR="00547D6A" w:rsidRPr="00547D6A" w:rsidRDefault="00547D6A" w:rsidP="00C31631">
            <w:pPr>
              <w:pStyle w:val="TableText"/>
              <w:jc w:val="center"/>
            </w:pPr>
            <w:r w:rsidRPr="00547D6A">
              <w:t>Medium</w:t>
            </w:r>
          </w:p>
        </w:tc>
        <w:tc>
          <w:tcPr>
            <w:tcW w:w="127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D859144" w14:textId="77777777" w:rsidR="00547D6A" w:rsidRPr="00547D6A" w:rsidRDefault="00547D6A" w:rsidP="00C31631">
            <w:pPr>
              <w:pStyle w:val="TableText"/>
              <w:jc w:val="center"/>
            </w:pPr>
            <w:r w:rsidRPr="00547D6A">
              <w:t>High</w:t>
            </w:r>
          </w:p>
        </w:tc>
        <w:tc>
          <w:tcPr>
            <w:tcW w:w="137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822C961" w14:textId="77777777" w:rsidR="00547D6A" w:rsidRPr="00547D6A" w:rsidRDefault="00547D6A" w:rsidP="00C31631">
            <w:pPr>
              <w:pStyle w:val="TableText"/>
              <w:jc w:val="center"/>
            </w:pPr>
            <w:r w:rsidRPr="00547D6A">
              <w:t>Very high</w:t>
            </w:r>
          </w:p>
        </w:tc>
        <w:tc>
          <w:tcPr>
            <w:tcW w:w="120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9944277" w14:textId="77777777" w:rsidR="00547D6A" w:rsidRPr="00547D6A" w:rsidRDefault="00547D6A" w:rsidP="00C31631">
            <w:pPr>
              <w:pStyle w:val="TableText"/>
              <w:jc w:val="center"/>
            </w:pPr>
            <w:r w:rsidRPr="00547D6A">
              <w:t>Very high</w:t>
            </w:r>
          </w:p>
        </w:tc>
      </w:tr>
      <w:tr w:rsidR="00547D6A" w:rsidRPr="00B824DA" w14:paraId="15F34C0D" w14:textId="77777777" w:rsidTr="003C78E5">
        <w:trPr>
          <w:trHeight w:val="713"/>
        </w:trPr>
        <w:tc>
          <w:tcPr>
            <w:tcW w:w="1223" w:type="dxa"/>
            <w:vMerge/>
            <w:tcBorders>
              <w:left w:val="single" w:sz="4" w:space="0" w:color="auto"/>
              <w:right w:val="single" w:sz="4" w:space="0" w:color="auto"/>
            </w:tcBorders>
            <w:shd w:val="clear" w:color="auto" w:fill="1C4483" w:themeFill="accent1"/>
          </w:tcPr>
          <w:p w14:paraId="69096376" w14:textId="77777777" w:rsidR="00547D6A" w:rsidRPr="00547D6A" w:rsidRDefault="00547D6A" w:rsidP="00500036">
            <w:pPr>
              <w:pStyle w:val="TableText"/>
            </w:pPr>
          </w:p>
        </w:tc>
        <w:tc>
          <w:tcPr>
            <w:tcW w:w="1247" w:type="dxa"/>
            <w:tcBorders>
              <w:top w:val="nil"/>
              <w:left w:val="single" w:sz="4" w:space="0" w:color="auto"/>
              <w:bottom w:val="single" w:sz="4" w:space="0" w:color="auto"/>
              <w:right w:val="single" w:sz="4" w:space="0" w:color="auto"/>
            </w:tcBorders>
            <w:shd w:val="clear" w:color="auto" w:fill="EEECE1"/>
            <w:vAlign w:val="center"/>
            <w:hideMark/>
          </w:tcPr>
          <w:p w14:paraId="28399E34" w14:textId="5005A8C5" w:rsidR="00547D6A" w:rsidRPr="00547D6A" w:rsidRDefault="00953C10" w:rsidP="00500036">
            <w:pPr>
              <w:pStyle w:val="TableText"/>
            </w:pPr>
            <w:r>
              <w:t>Likely</w:t>
            </w:r>
          </w:p>
        </w:tc>
        <w:tc>
          <w:tcPr>
            <w:tcW w:w="137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576FFCA" w14:textId="77777777" w:rsidR="00547D6A" w:rsidRPr="00547D6A" w:rsidRDefault="00547D6A" w:rsidP="00C31631">
            <w:pPr>
              <w:pStyle w:val="TableText"/>
              <w:jc w:val="center"/>
            </w:pPr>
            <w:r w:rsidRPr="00547D6A">
              <w:t>Low</w:t>
            </w:r>
          </w:p>
        </w:tc>
        <w:tc>
          <w:tcPr>
            <w:tcW w:w="137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13FCC7E" w14:textId="77777777" w:rsidR="00547D6A" w:rsidRPr="00547D6A" w:rsidRDefault="00547D6A" w:rsidP="00C31631">
            <w:pPr>
              <w:pStyle w:val="TableText"/>
              <w:jc w:val="center"/>
            </w:pPr>
            <w:r w:rsidRPr="00547D6A">
              <w:t>Low</w:t>
            </w:r>
          </w:p>
        </w:tc>
        <w:tc>
          <w:tcPr>
            <w:tcW w:w="127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794A4AA" w14:textId="77777777" w:rsidR="00547D6A" w:rsidRPr="00547D6A" w:rsidRDefault="00547D6A" w:rsidP="00C31631">
            <w:pPr>
              <w:pStyle w:val="TableText"/>
              <w:jc w:val="center"/>
            </w:pPr>
            <w:r w:rsidRPr="00547D6A">
              <w:t>Medium</w:t>
            </w:r>
          </w:p>
        </w:tc>
        <w:tc>
          <w:tcPr>
            <w:tcW w:w="1372"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C7DCBA6" w14:textId="77777777" w:rsidR="00547D6A" w:rsidRPr="00547D6A" w:rsidRDefault="00547D6A" w:rsidP="00C31631">
            <w:pPr>
              <w:pStyle w:val="TableText"/>
              <w:jc w:val="center"/>
            </w:pPr>
            <w:r w:rsidRPr="00547D6A">
              <w:t>High</w:t>
            </w:r>
          </w:p>
        </w:tc>
        <w:tc>
          <w:tcPr>
            <w:tcW w:w="120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0FA85FF" w14:textId="77777777" w:rsidR="00547D6A" w:rsidRPr="00547D6A" w:rsidRDefault="00547D6A" w:rsidP="00C31631">
            <w:pPr>
              <w:pStyle w:val="TableText"/>
              <w:jc w:val="center"/>
            </w:pPr>
            <w:r w:rsidRPr="00547D6A">
              <w:t>Very high</w:t>
            </w:r>
          </w:p>
        </w:tc>
      </w:tr>
      <w:tr w:rsidR="00547D6A" w:rsidRPr="00B824DA" w14:paraId="07FB4820" w14:textId="77777777" w:rsidTr="003C78E5">
        <w:trPr>
          <w:trHeight w:val="694"/>
        </w:trPr>
        <w:tc>
          <w:tcPr>
            <w:tcW w:w="1223" w:type="dxa"/>
            <w:vMerge/>
            <w:tcBorders>
              <w:left w:val="single" w:sz="4" w:space="0" w:color="auto"/>
              <w:right w:val="single" w:sz="4" w:space="0" w:color="auto"/>
            </w:tcBorders>
            <w:shd w:val="clear" w:color="auto" w:fill="1C4483" w:themeFill="accent1"/>
          </w:tcPr>
          <w:p w14:paraId="31B93BFB" w14:textId="77777777" w:rsidR="00547D6A" w:rsidRPr="00547D6A" w:rsidRDefault="00547D6A" w:rsidP="00500036">
            <w:pPr>
              <w:pStyle w:val="TableText"/>
            </w:pPr>
          </w:p>
        </w:tc>
        <w:tc>
          <w:tcPr>
            <w:tcW w:w="1247" w:type="dxa"/>
            <w:tcBorders>
              <w:top w:val="nil"/>
              <w:left w:val="single" w:sz="4" w:space="0" w:color="auto"/>
              <w:bottom w:val="single" w:sz="4" w:space="0" w:color="auto"/>
              <w:right w:val="single" w:sz="4" w:space="0" w:color="auto"/>
            </w:tcBorders>
            <w:shd w:val="clear" w:color="auto" w:fill="EEECE1"/>
            <w:vAlign w:val="center"/>
            <w:hideMark/>
          </w:tcPr>
          <w:p w14:paraId="2A3EDAEF" w14:textId="77777777" w:rsidR="00547D6A" w:rsidRPr="00547D6A" w:rsidRDefault="00547D6A" w:rsidP="00500036">
            <w:pPr>
              <w:pStyle w:val="TableText"/>
            </w:pPr>
            <w:r w:rsidRPr="00547D6A">
              <w:t>Unlikely</w:t>
            </w:r>
          </w:p>
        </w:tc>
        <w:tc>
          <w:tcPr>
            <w:tcW w:w="1372"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4861D8FE" w14:textId="77777777" w:rsidR="00547D6A" w:rsidRPr="00547D6A" w:rsidRDefault="00547D6A" w:rsidP="00C31631">
            <w:pPr>
              <w:pStyle w:val="TableText"/>
              <w:jc w:val="center"/>
            </w:pPr>
            <w:r w:rsidRPr="00547D6A">
              <w:t>Negligible</w:t>
            </w:r>
          </w:p>
        </w:tc>
        <w:tc>
          <w:tcPr>
            <w:tcW w:w="137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CCE5DC4" w14:textId="77777777" w:rsidR="00547D6A" w:rsidRPr="00547D6A" w:rsidRDefault="00547D6A" w:rsidP="00C31631">
            <w:pPr>
              <w:pStyle w:val="TableText"/>
              <w:jc w:val="center"/>
            </w:pPr>
            <w:r w:rsidRPr="00547D6A">
              <w:t>Low</w:t>
            </w:r>
          </w:p>
        </w:tc>
        <w:tc>
          <w:tcPr>
            <w:tcW w:w="127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3F00BB5" w14:textId="77777777" w:rsidR="00547D6A" w:rsidRPr="00547D6A" w:rsidRDefault="00547D6A" w:rsidP="00C31631">
            <w:pPr>
              <w:pStyle w:val="TableText"/>
              <w:jc w:val="center"/>
            </w:pPr>
            <w:r w:rsidRPr="00547D6A">
              <w:t>Medium</w:t>
            </w:r>
          </w:p>
        </w:tc>
        <w:tc>
          <w:tcPr>
            <w:tcW w:w="1372"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AFE00FC" w14:textId="77777777" w:rsidR="00547D6A" w:rsidRPr="00547D6A" w:rsidRDefault="00547D6A" w:rsidP="00C31631">
            <w:pPr>
              <w:pStyle w:val="TableText"/>
              <w:jc w:val="center"/>
            </w:pPr>
            <w:r w:rsidRPr="00547D6A">
              <w:t>High</w:t>
            </w:r>
          </w:p>
        </w:tc>
        <w:tc>
          <w:tcPr>
            <w:tcW w:w="1204"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2D78A268" w14:textId="77777777" w:rsidR="00547D6A" w:rsidRPr="00547D6A" w:rsidRDefault="00547D6A" w:rsidP="00C31631">
            <w:pPr>
              <w:pStyle w:val="TableText"/>
              <w:jc w:val="center"/>
            </w:pPr>
            <w:r w:rsidRPr="00547D6A">
              <w:t>High</w:t>
            </w:r>
          </w:p>
        </w:tc>
      </w:tr>
      <w:tr w:rsidR="00547D6A" w:rsidRPr="00B824DA" w14:paraId="6B374576" w14:textId="77777777" w:rsidTr="003C78E5">
        <w:trPr>
          <w:trHeight w:val="704"/>
        </w:trPr>
        <w:tc>
          <w:tcPr>
            <w:tcW w:w="1223" w:type="dxa"/>
            <w:vMerge/>
            <w:tcBorders>
              <w:left w:val="single" w:sz="4" w:space="0" w:color="auto"/>
              <w:right w:val="single" w:sz="4" w:space="0" w:color="auto"/>
            </w:tcBorders>
            <w:shd w:val="clear" w:color="auto" w:fill="1C4483" w:themeFill="accent1"/>
          </w:tcPr>
          <w:p w14:paraId="4E0AAD05" w14:textId="77777777" w:rsidR="00547D6A" w:rsidRPr="00547D6A" w:rsidRDefault="00547D6A" w:rsidP="00500036">
            <w:pPr>
              <w:pStyle w:val="TableText"/>
            </w:pPr>
          </w:p>
        </w:tc>
        <w:tc>
          <w:tcPr>
            <w:tcW w:w="1247" w:type="dxa"/>
            <w:tcBorders>
              <w:top w:val="nil"/>
              <w:left w:val="single" w:sz="4" w:space="0" w:color="auto"/>
              <w:bottom w:val="single" w:sz="4" w:space="0" w:color="auto"/>
              <w:right w:val="single" w:sz="4" w:space="0" w:color="auto"/>
            </w:tcBorders>
            <w:shd w:val="clear" w:color="auto" w:fill="EEECE1"/>
            <w:vAlign w:val="center"/>
            <w:hideMark/>
          </w:tcPr>
          <w:p w14:paraId="0A9C77E7" w14:textId="77777777" w:rsidR="00547D6A" w:rsidRPr="00547D6A" w:rsidRDefault="00547D6A" w:rsidP="00500036">
            <w:pPr>
              <w:pStyle w:val="TableText"/>
            </w:pPr>
            <w:r w:rsidRPr="00547D6A">
              <w:t>Remote</w:t>
            </w:r>
          </w:p>
        </w:tc>
        <w:tc>
          <w:tcPr>
            <w:tcW w:w="1372"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FB09FA7" w14:textId="77777777" w:rsidR="00547D6A" w:rsidRPr="00547D6A" w:rsidRDefault="00547D6A" w:rsidP="00C31631">
            <w:pPr>
              <w:pStyle w:val="TableText"/>
              <w:jc w:val="center"/>
            </w:pPr>
            <w:r w:rsidRPr="00547D6A">
              <w:t>Negligible</w:t>
            </w:r>
          </w:p>
        </w:tc>
        <w:tc>
          <w:tcPr>
            <w:tcW w:w="1372"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5E98F21" w14:textId="77777777" w:rsidR="00547D6A" w:rsidRPr="00547D6A" w:rsidRDefault="00547D6A" w:rsidP="00C31631">
            <w:pPr>
              <w:pStyle w:val="TableText"/>
              <w:jc w:val="center"/>
            </w:pPr>
            <w:r w:rsidRPr="00547D6A">
              <w:t>Negligible</w:t>
            </w:r>
          </w:p>
        </w:tc>
        <w:tc>
          <w:tcPr>
            <w:tcW w:w="127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C24A714" w14:textId="77777777" w:rsidR="00547D6A" w:rsidRPr="00547D6A" w:rsidRDefault="00547D6A" w:rsidP="00C31631">
            <w:pPr>
              <w:pStyle w:val="TableText"/>
              <w:jc w:val="center"/>
            </w:pPr>
            <w:r w:rsidRPr="00547D6A">
              <w:t>Low</w:t>
            </w:r>
          </w:p>
        </w:tc>
        <w:tc>
          <w:tcPr>
            <w:tcW w:w="137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52A65AE" w14:textId="77777777" w:rsidR="00547D6A" w:rsidRPr="00547D6A" w:rsidRDefault="00547D6A" w:rsidP="00C31631">
            <w:pPr>
              <w:pStyle w:val="TableText"/>
              <w:jc w:val="center"/>
            </w:pPr>
            <w:r w:rsidRPr="00547D6A">
              <w:t>Medium</w:t>
            </w:r>
          </w:p>
        </w:tc>
        <w:tc>
          <w:tcPr>
            <w:tcW w:w="1204"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68BC5FC" w14:textId="77777777" w:rsidR="00547D6A" w:rsidRPr="00547D6A" w:rsidRDefault="00547D6A" w:rsidP="00C31631">
            <w:pPr>
              <w:pStyle w:val="TableText"/>
              <w:jc w:val="center"/>
            </w:pPr>
            <w:r w:rsidRPr="00547D6A">
              <w:t>High</w:t>
            </w:r>
          </w:p>
        </w:tc>
      </w:tr>
      <w:tr w:rsidR="00547D6A" w:rsidRPr="00B824DA" w14:paraId="2B7AEE1B" w14:textId="77777777" w:rsidTr="003C78E5">
        <w:trPr>
          <w:trHeight w:val="687"/>
        </w:trPr>
        <w:tc>
          <w:tcPr>
            <w:tcW w:w="1223" w:type="dxa"/>
            <w:vMerge/>
            <w:tcBorders>
              <w:left w:val="single" w:sz="4" w:space="0" w:color="auto"/>
              <w:bottom w:val="single" w:sz="4" w:space="0" w:color="auto"/>
              <w:right w:val="single" w:sz="4" w:space="0" w:color="auto"/>
            </w:tcBorders>
            <w:shd w:val="clear" w:color="auto" w:fill="1C4483" w:themeFill="accent1"/>
          </w:tcPr>
          <w:p w14:paraId="4270B5E1" w14:textId="77777777" w:rsidR="00547D6A" w:rsidRPr="00547D6A" w:rsidRDefault="00547D6A" w:rsidP="00500036">
            <w:pPr>
              <w:pStyle w:val="TableText"/>
            </w:pPr>
          </w:p>
        </w:tc>
        <w:tc>
          <w:tcPr>
            <w:tcW w:w="1247" w:type="dxa"/>
            <w:tcBorders>
              <w:top w:val="nil"/>
              <w:left w:val="single" w:sz="4" w:space="0" w:color="auto"/>
              <w:bottom w:val="single" w:sz="4" w:space="0" w:color="auto"/>
              <w:right w:val="single" w:sz="4" w:space="0" w:color="auto"/>
            </w:tcBorders>
            <w:shd w:val="clear" w:color="auto" w:fill="EEECE1"/>
            <w:vAlign w:val="center"/>
            <w:hideMark/>
          </w:tcPr>
          <w:p w14:paraId="78FE55DF" w14:textId="77777777" w:rsidR="00547D6A" w:rsidRPr="00547D6A" w:rsidRDefault="00547D6A" w:rsidP="00500036">
            <w:pPr>
              <w:pStyle w:val="TableText"/>
            </w:pPr>
            <w:r w:rsidRPr="00547D6A">
              <w:t>Rare</w:t>
            </w:r>
          </w:p>
        </w:tc>
        <w:tc>
          <w:tcPr>
            <w:tcW w:w="1372"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03143BF" w14:textId="77777777" w:rsidR="00547D6A" w:rsidRPr="00547D6A" w:rsidRDefault="00547D6A" w:rsidP="00C31631">
            <w:pPr>
              <w:pStyle w:val="TableText"/>
              <w:jc w:val="center"/>
            </w:pPr>
            <w:r w:rsidRPr="00547D6A">
              <w:t>Negligible</w:t>
            </w:r>
          </w:p>
        </w:tc>
        <w:tc>
          <w:tcPr>
            <w:tcW w:w="1372"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0D00DA6B" w14:textId="77777777" w:rsidR="00547D6A" w:rsidRPr="00547D6A" w:rsidRDefault="00547D6A" w:rsidP="00C31631">
            <w:pPr>
              <w:pStyle w:val="TableText"/>
              <w:jc w:val="center"/>
            </w:pPr>
            <w:r w:rsidRPr="00547D6A">
              <w:t>Negligible</w:t>
            </w:r>
          </w:p>
        </w:tc>
        <w:tc>
          <w:tcPr>
            <w:tcW w:w="1275"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4C80127" w14:textId="77777777" w:rsidR="00547D6A" w:rsidRPr="00547D6A" w:rsidRDefault="00547D6A" w:rsidP="00C31631">
            <w:pPr>
              <w:pStyle w:val="TableText"/>
              <w:jc w:val="center"/>
            </w:pPr>
            <w:r w:rsidRPr="00547D6A">
              <w:t>Negligible</w:t>
            </w:r>
          </w:p>
        </w:tc>
        <w:tc>
          <w:tcPr>
            <w:tcW w:w="137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7E11D8B" w14:textId="77777777" w:rsidR="00547D6A" w:rsidRPr="00547D6A" w:rsidRDefault="00547D6A" w:rsidP="00C31631">
            <w:pPr>
              <w:pStyle w:val="TableText"/>
              <w:jc w:val="center"/>
            </w:pPr>
            <w:r w:rsidRPr="00547D6A">
              <w:t>Low</w:t>
            </w:r>
          </w:p>
        </w:tc>
        <w:tc>
          <w:tcPr>
            <w:tcW w:w="12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2373862" w14:textId="77777777" w:rsidR="00547D6A" w:rsidRPr="00547D6A" w:rsidRDefault="00547D6A" w:rsidP="00C31631">
            <w:pPr>
              <w:pStyle w:val="TableText"/>
              <w:jc w:val="center"/>
            </w:pPr>
            <w:r w:rsidRPr="00547D6A">
              <w:t>Medium</w:t>
            </w:r>
          </w:p>
        </w:tc>
      </w:tr>
    </w:tbl>
    <w:p w14:paraId="144DAC17" w14:textId="77777777" w:rsidR="003C78E5" w:rsidRDefault="003C78E5" w:rsidP="003C78E5">
      <w:pPr>
        <w:pStyle w:val="Source"/>
      </w:pPr>
    </w:p>
    <w:p w14:paraId="260D47DE" w14:textId="74BD114D" w:rsidR="00547D6A" w:rsidRPr="00547D6A" w:rsidRDefault="00547D6A" w:rsidP="00547D6A">
      <w:pPr>
        <w:pStyle w:val="Heading3"/>
      </w:pPr>
      <w:bookmarkStart w:id="65" w:name="_Toc71731601"/>
      <w:bookmarkStart w:id="66" w:name="_Toc72230983"/>
      <w:r>
        <w:lastRenderedPageBreak/>
        <w:t>Impact assessment</w:t>
      </w:r>
      <w:bookmarkEnd w:id="65"/>
      <w:bookmarkEnd w:id="66"/>
    </w:p>
    <w:p w14:paraId="668AE31E" w14:textId="4750FBC4" w:rsidR="00547D6A" w:rsidRDefault="00547D6A" w:rsidP="00547D6A">
      <w:pPr>
        <w:pStyle w:val="BodyText"/>
      </w:pPr>
      <w:r>
        <w:t xml:space="preserve">An impact is defined as any change resulting from the implementation of the Project. Impacts can be positive or negative. The nature and extent of any impact is measured against the existing conditions assessment, considering the differences between the </w:t>
      </w:r>
      <w:r w:rsidR="00D34A31">
        <w:t>"</w:t>
      </w:r>
      <w:proofErr w:type="spellStart"/>
      <w:r>
        <w:t>with</w:t>
      </w:r>
      <w:proofErr w:type="spellEnd"/>
      <w:r>
        <w:t xml:space="preserve"> Project</w:t>
      </w:r>
      <w:r w:rsidR="00D34A31">
        <w:t>"</w:t>
      </w:r>
      <w:r>
        <w:t xml:space="preserve"> and </w:t>
      </w:r>
      <w:r w:rsidR="00D34A31">
        <w:t>"</w:t>
      </w:r>
      <w:r>
        <w:t>without Project</w:t>
      </w:r>
      <w:r w:rsidR="00D34A31">
        <w:t>"</w:t>
      </w:r>
      <w:r>
        <w:t xml:space="preserve"> scenarios.</w:t>
      </w:r>
    </w:p>
    <w:p w14:paraId="7937DD12" w14:textId="77777777" w:rsidR="00547D6A" w:rsidRDefault="00547D6A" w:rsidP="00547D6A">
      <w:pPr>
        <w:pStyle w:val="BodyText"/>
      </w:pPr>
      <w:r>
        <w:t>The following factors were considered when determining the significance of potential environmental impacts of the Project:</w:t>
      </w:r>
    </w:p>
    <w:p w14:paraId="6F29004F" w14:textId="4F013193" w:rsidR="00547D6A" w:rsidRPr="00547D6A" w:rsidRDefault="00547D6A" w:rsidP="00500036">
      <w:pPr>
        <w:pStyle w:val="BodyBullet1"/>
      </w:pPr>
      <w:r>
        <w:t xml:space="preserve">The likelihood that any given </w:t>
      </w:r>
      <w:r w:rsidR="00DF42F3">
        <w:t xml:space="preserve">direct or indirect </w:t>
      </w:r>
      <w:r>
        <w:t>environmental impact would occur</w:t>
      </w:r>
    </w:p>
    <w:p w14:paraId="12FDD1CF" w14:textId="77777777" w:rsidR="00547D6A" w:rsidRPr="00547D6A" w:rsidRDefault="00547D6A" w:rsidP="00500036">
      <w:pPr>
        <w:pStyle w:val="BodyBullet1"/>
      </w:pPr>
      <w:r>
        <w:t xml:space="preserve">The magnitude, </w:t>
      </w:r>
      <w:proofErr w:type="gramStart"/>
      <w:r>
        <w:t>extent</w:t>
      </w:r>
      <w:proofErr w:type="gramEnd"/>
      <w:r>
        <w:t xml:space="preserve"> and duration of the impact on the environment</w:t>
      </w:r>
    </w:p>
    <w:p w14:paraId="2E66B676" w14:textId="77777777" w:rsidR="00547D6A" w:rsidRPr="00547D6A" w:rsidRDefault="00547D6A" w:rsidP="00500036">
      <w:pPr>
        <w:pStyle w:val="BodyBullet1"/>
      </w:pPr>
      <w:r>
        <w:t xml:space="preserve">The relationship between different </w:t>
      </w:r>
      <w:r w:rsidRPr="00547D6A">
        <w:t>impacts on the environment and potential cumulative impacts</w:t>
      </w:r>
    </w:p>
    <w:p w14:paraId="3572928D" w14:textId="7142F99B" w:rsidR="00547D6A" w:rsidRDefault="00547D6A" w:rsidP="00500036">
      <w:pPr>
        <w:pStyle w:val="BodyBullet1"/>
      </w:pPr>
      <w:r>
        <w:t>The likely effectiveness of measures to avoid, minimise and manage impacts</w:t>
      </w:r>
    </w:p>
    <w:p w14:paraId="316EB01D" w14:textId="030166C8" w:rsidR="00A30457" w:rsidRPr="00547D6A" w:rsidRDefault="00A30457" w:rsidP="00500036">
      <w:pPr>
        <w:pStyle w:val="BodyBullet1"/>
      </w:pPr>
      <w:r>
        <w:t>Residual impacts following application of management measures</w:t>
      </w:r>
    </w:p>
    <w:p w14:paraId="076D0238" w14:textId="77777777" w:rsidR="00547D6A" w:rsidRPr="00547D6A" w:rsidRDefault="00547D6A" w:rsidP="00500036">
      <w:pPr>
        <w:pStyle w:val="BodyBullet1"/>
      </w:pPr>
      <w:r>
        <w:t>Benchmarks and standards set by statutory requirements and environmental approvals</w:t>
      </w:r>
    </w:p>
    <w:p w14:paraId="7BFACD65" w14:textId="77777777" w:rsidR="00547D6A" w:rsidRPr="00547D6A" w:rsidRDefault="00547D6A" w:rsidP="00500036">
      <w:pPr>
        <w:pStyle w:val="BodyBullet1"/>
      </w:pPr>
      <w:r>
        <w:t>The policies and guidelines that apply to the proposed projects</w:t>
      </w:r>
    </w:p>
    <w:p w14:paraId="5FA69E97" w14:textId="77777777" w:rsidR="00547D6A" w:rsidRPr="00547D6A" w:rsidRDefault="00547D6A" w:rsidP="00500036">
      <w:pPr>
        <w:pStyle w:val="BodyBullet1"/>
      </w:pPr>
      <w:r>
        <w:t>Community expectations</w:t>
      </w:r>
    </w:p>
    <w:p w14:paraId="161EED49" w14:textId="77777777" w:rsidR="00547D6A" w:rsidRPr="00547D6A" w:rsidRDefault="00547D6A" w:rsidP="00500036">
      <w:pPr>
        <w:pStyle w:val="BodyBullet1"/>
      </w:pPr>
      <w:r>
        <w:t>The principles of ecologically sustainable development as defined in the Ministerial guidelines for assessment of environmental effects (DSE, 2006).</w:t>
      </w:r>
    </w:p>
    <w:p w14:paraId="3B81C89C" w14:textId="77777777" w:rsidR="00547D6A" w:rsidRDefault="00547D6A" w:rsidP="00547D6A">
      <w:pPr>
        <w:pStyle w:val="BodyText"/>
      </w:pPr>
      <w:r>
        <w:t>Specific methods for impact assessment were determined by specialists for each technical report to assess the magnitude of impacts.</w:t>
      </w:r>
    </w:p>
    <w:p w14:paraId="7CF9E042" w14:textId="196A0E76" w:rsidR="00547D6A" w:rsidRDefault="00547D6A" w:rsidP="00547D6A">
      <w:pPr>
        <w:pStyle w:val="BodyText"/>
      </w:pPr>
      <w:r>
        <w:t>The impact assessments for each of the 1</w:t>
      </w:r>
      <w:r w:rsidR="00BD1103">
        <w:t>3</w:t>
      </w:r>
      <w:r>
        <w:t xml:space="preserve"> technical studies are summarised in Chapters 7</w:t>
      </w:r>
      <w:r w:rsidR="00D34A31">
        <w:t xml:space="preserve"> to </w:t>
      </w:r>
      <w:r>
        <w:t>1</w:t>
      </w:r>
      <w:r w:rsidR="00BD1103">
        <w:t>8</w:t>
      </w:r>
      <w:r>
        <w:t xml:space="preserve"> and detailed in Technical reports A</w:t>
      </w:r>
      <w:r w:rsidR="00D34A31">
        <w:t xml:space="preserve"> to </w:t>
      </w:r>
      <w:r w:rsidR="00C57F88">
        <w:t>M</w:t>
      </w:r>
      <w:r>
        <w:t>. The studies recommended environmental management measures to s</w:t>
      </w:r>
      <w:r w:rsidR="00337DBA">
        <w:t>upport</w:t>
      </w:r>
      <w:r>
        <w:t xml:space="preserve"> environmental outcomes for the Project. Where potential impacts were identified as requiring treatment, additional or revised environmental management measures were identified or design changes were made, to reduce the potential </w:t>
      </w:r>
      <w:r w:rsidR="002B2A21">
        <w:t xml:space="preserve">residual </w:t>
      </w:r>
      <w:r>
        <w:t>impact.</w:t>
      </w:r>
    </w:p>
    <w:p w14:paraId="66CC54CA" w14:textId="039F16E2" w:rsidR="003C78E5" w:rsidRDefault="00547D6A" w:rsidP="003C78E5">
      <w:pPr>
        <w:pStyle w:val="BodyText"/>
      </w:pPr>
      <w:r>
        <w:t>The preparation of the impact assessments was an iterative process. Following the risk and impact assessment, identified impacts were reassessed with the proposed environmental management measures. Using this information, the risk assessment was revisited to determine residual risk levels</w:t>
      </w:r>
      <w:r w:rsidR="002B2A21">
        <w:t xml:space="preserve"> and residual impacts of the Project</w:t>
      </w:r>
      <w:r>
        <w:t>.</w:t>
      </w:r>
      <w:r w:rsidR="003C78E5">
        <w:br w:type="page"/>
      </w:r>
    </w:p>
    <w:p w14:paraId="14BEB403" w14:textId="2F6087A5" w:rsidR="00547D6A" w:rsidRPr="00547D6A" w:rsidRDefault="00DA43C2" w:rsidP="00547D6A">
      <w:pPr>
        <w:pStyle w:val="Heading3"/>
      </w:pPr>
      <w:bookmarkStart w:id="67" w:name="_Toc71731602"/>
      <w:bookmarkStart w:id="68" w:name="_Toc72230984"/>
      <w:r>
        <w:lastRenderedPageBreak/>
        <w:t>Managing environmental effects</w:t>
      </w:r>
      <w:bookmarkEnd w:id="67"/>
      <w:bookmarkEnd w:id="68"/>
    </w:p>
    <w:p w14:paraId="730C9A13" w14:textId="4B5BD24C" w:rsidR="00547D6A" w:rsidRDefault="00DA43C2" w:rsidP="00547D6A">
      <w:pPr>
        <w:pStyle w:val="BodyText"/>
      </w:pPr>
      <w:r>
        <w:t xml:space="preserve">Chapter 19 </w:t>
      </w:r>
      <w:r w:rsidRPr="00916C33">
        <w:rPr>
          <w:rStyle w:val="Italics"/>
        </w:rPr>
        <w:t>E</w:t>
      </w:r>
      <w:r w:rsidR="00547D6A" w:rsidRPr="00916C33">
        <w:rPr>
          <w:rStyle w:val="Italics"/>
        </w:rPr>
        <w:t>nvironmental management framework</w:t>
      </w:r>
      <w:r w:rsidR="00547D6A">
        <w:t xml:space="preserve"> provides the context for managing and monitoring the environmental effects of the Project. This includes the accountabilities for managing environmental effects associated with the Project. </w:t>
      </w:r>
    </w:p>
    <w:p w14:paraId="457FB394" w14:textId="0CDA53BC" w:rsidR="00547D6A" w:rsidRDefault="00DA43C2" w:rsidP="00547D6A">
      <w:pPr>
        <w:pStyle w:val="BodyText"/>
      </w:pPr>
      <w:r>
        <w:t xml:space="preserve">Chapter 19 </w:t>
      </w:r>
      <w:r w:rsidR="00236342" w:rsidRPr="00236342">
        <w:rPr>
          <w:rStyle w:val="Italics"/>
        </w:rPr>
        <w:t>Environmental management framework</w:t>
      </w:r>
      <w:r>
        <w:t xml:space="preserve"> also </w:t>
      </w:r>
      <w:r w:rsidR="00547D6A">
        <w:t xml:space="preserve">contains the environmental management measures that must be </w:t>
      </w:r>
      <w:r w:rsidR="00726C2E">
        <w:t>implemented</w:t>
      </w:r>
      <w:r w:rsidR="00547D6A">
        <w:t xml:space="preserve"> during design, </w:t>
      </w:r>
      <w:proofErr w:type="gramStart"/>
      <w:r w:rsidR="00547D6A">
        <w:t>construction</w:t>
      </w:r>
      <w:proofErr w:type="gramEnd"/>
      <w:r w:rsidR="00547D6A">
        <w:t xml:space="preserve"> and operation of the Project.</w:t>
      </w:r>
      <w:r w:rsidR="00EA5349">
        <w:t xml:space="preserve"> </w:t>
      </w:r>
    </w:p>
    <w:p w14:paraId="4F19052A" w14:textId="44BFF33E" w:rsidR="00547D6A" w:rsidRDefault="00547D6A" w:rsidP="00547D6A">
      <w:pPr>
        <w:pStyle w:val="BodyText"/>
      </w:pPr>
      <w:r>
        <w:t>The 1</w:t>
      </w:r>
      <w:r w:rsidR="00BD1103">
        <w:t>3</w:t>
      </w:r>
      <w:r>
        <w:t xml:space="preserve"> technical specialists considered an initial set of environmental management measures as part of the impact assessments. These were based on compliance with legislation and standard requirements typically incorporated into the delivery of major infrastructure projects. Through the risk assessment process outlined above, the initial set of environmental management measures was refined and expanded to a final set. </w:t>
      </w:r>
      <w:r w:rsidR="00EA5349">
        <w:t xml:space="preserve">The mitigation hierarchy has been applied to determine the final </w:t>
      </w:r>
      <w:r w:rsidR="000F15DB">
        <w:t xml:space="preserve">set of </w:t>
      </w:r>
      <w:r w:rsidR="00EA5349">
        <w:t>environmental management measures, including:</w:t>
      </w:r>
    </w:p>
    <w:p w14:paraId="27EF16F4" w14:textId="7F57557C" w:rsidR="00EA5349" w:rsidRDefault="00EA5349" w:rsidP="00672453">
      <w:pPr>
        <w:pStyle w:val="BodyBullet1"/>
      </w:pPr>
      <w:r>
        <w:t xml:space="preserve">Avoidance: </w:t>
      </w:r>
      <w:r w:rsidRPr="00EA5349">
        <w:t xml:space="preserve">measures taken to avoid creating adverse effects on the environment from the outset, such as careful spatial or temporal placement of infrastructure or </w:t>
      </w:r>
      <w:r w:rsidR="00A85997">
        <w:t>disturbance</w:t>
      </w:r>
    </w:p>
    <w:p w14:paraId="03763AB4" w14:textId="6160B3CE" w:rsidR="00EA5349" w:rsidRDefault="00EA5349" w:rsidP="00672453">
      <w:pPr>
        <w:pStyle w:val="BodyBullet1"/>
      </w:pPr>
      <w:r w:rsidRPr="00EA5349">
        <w:t>Minimisation: measures taken to reduce the duration, intensity and extent of impacts that can</w:t>
      </w:r>
      <w:r w:rsidR="00A85997">
        <w:t>not be avoided</w:t>
      </w:r>
    </w:p>
    <w:p w14:paraId="2892550B" w14:textId="1DA0AEA9" w:rsidR="00EA5349" w:rsidRDefault="00EA5349" w:rsidP="00672453">
      <w:pPr>
        <w:pStyle w:val="BodyBullet1"/>
      </w:pPr>
      <w:r w:rsidRPr="00EA5349">
        <w:t>Rehabilitation/restoration: measures taken to improve a degraded environment following exposure to impacts that cannot be comple</w:t>
      </w:r>
      <w:r w:rsidR="00A85997">
        <w:t>tely avoided or minimised</w:t>
      </w:r>
    </w:p>
    <w:p w14:paraId="5ADB4606" w14:textId="669FE96C" w:rsidR="00EA5349" w:rsidRDefault="00EA5349" w:rsidP="00672453">
      <w:pPr>
        <w:pStyle w:val="BodyBullet1"/>
      </w:pPr>
      <w:r w:rsidRPr="00EA5349">
        <w:t>Offsets: measures taken to compensate for any residual</w:t>
      </w:r>
      <w:r>
        <w:t xml:space="preserve">, adverse impacts after full implementation of the previous three steps of the mitigation hierarchy. </w:t>
      </w:r>
    </w:p>
    <w:p w14:paraId="0DE7F247" w14:textId="73C3E92F" w:rsidR="00547D6A" w:rsidRDefault="00547D6A" w:rsidP="00547D6A">
      <w:pPr>
        <w:pStyle w:val="BodyText"/>
      </w:pPr>
      <w:r>
        <w:t xml:space="preserve">The relevant environmental management measures are listed in each technical report and the full set is included in Chapter </w:t>
      </w:r>
      <w:r w:rsidR="00DA43C2">
        <w:t>19</w:t>
      </w:r>
      <w:r w:rsidR="008D3CD2">
        <w:t xml:space="preserve"> </w:t>
      </w:r>
      <w:r w:rsidRPr="004B26EA">
        <w:rPr>
          <w:rStyle w:val="Italics"/>
        </w:rPr>
        <w:t>Environmental management framework</w:t>
      </w:r>
      <w:r>
        <w:t>.</w:t>
      </w:r>
    </w:p>
    <w:p w14:paraId="1FC772FD" w14:textId="34B5CCBE" w:rsidR="00DD25D2" w:rsidRDefault="001F6664" w:rsidP="00AC57BD">
      <w:pPr>
        <w:pStyle w:val="BodyText"/>
      </w:pPr>
      <w:r>
        <w:t>To monitor and evaluate</w:t>
      </w:r>
      <w:r w:rsidR="00CB6593" w:rsidRPr="00365432">
        <w:t xml:space="preserve"> </w:t>
      </w:r>
      <w:r>
        <w:t xml:space="preserve">compliance </w:t>
      </w:r>
      <w:r w:rsidR="00CB6593" w:rsidRPr="00365432">
        <w:t xml:space="preserve">with the required environmental </w:t>
      </w:r>
      <w:r w:rsidR="00CB6593">
        <w:t>management</w:t>
      </w:r>
      <w:r w:rsidR="00CB6593" w:rsidRPr="00365432">
        <w:t xml:space="preserve"> measures</w:t>
      </w:r>
      <w:r w:rsidRPr="001F6664">
        <w:t xml:space="preserve"> </w:t>
      </w:r>
      <w:r>
        <w:t xml:space="preserve">and </w:t>
      </w:r>
      <w:r w:rsidRPr="00365432">
        <w:t>statutory approvals conditions</w:t>
      </w:r>
      <w:r>
        <w:t xml:space="preserve">, a number of activities have been proposed in each technical report and in Chapter 19 </w:t>
      </w:r>
      <w:r w:rsidRPr="004B26EA">
        <w:rPr>
          <w:rStyle w:val="Italics"/>
        </w:rPr>
        <w:t>Environmental management framework</w:t>
      </w:r>
      <w:r>
        <w:t>. These include monitoring programs, auditing</w:t>
      </w:r>
      <w:r w:rsidR="00DD25D2">
        <w:t>,</w:t>
      </w:r>
      <w:r>
        <w:t xml:space="preserve"> and reporting activities</w:t>
      </w:r>
      <w:r w:rsidR="00CB6593" w:rsidRPr="00365432">
        <w:t>.</w:t>
      </w:r>
      <w:r w:rsidR="00DD25D2">
        <w:t xml:space="preserve"> As described in Chapter 19 </w:t>
      </w:r>
      <w:r w:rsidR="00DD25D2" w:rsidRPr="004B26EA">
        <w:rPr>
          <w:rStyle w:val="Italics"/>
        </w:rPr>
        <w:t>Environmental management framework</w:t>
      </w:r>
      <w:r w:rsidR="00DD25D2">
        <w:t xml:space="preserve"> (section 19.7.1), m</w:t>
      </w:r>
      <w:r w:rsidR="00DD25D2" w:rsidRPr="00365432">
        <w:t xml:space="preserve">onitoring </w:t>
      </w:r>
      <w:r w:rsidR="00DD25D2">
        <w:t>indicators,</w:t>
      </w:r>
      <w:r w:rsidR="00DD25D2" w:rsidRPr="00365432">
        <w:t xml:space="preserve"> frequency</w:t>
      </w:r>
      <w:r w:rsidR="00DD25D2">
        <w:t xml:space="preserve">, </w:t>
      </w:r>
      <w:proofErr w:type="gramStart"/>
      <w:r w:rsidR="00DD25D2">
        <w:t>locations</w:t>
      </w:r>
      <w:proofErr w:type="gramEnd"/>
      <w:r w:rsidR="00DD25D2" w:rsidRPr="00365432">
        <w:t xml:space="preserve"> and monitoring parameters would be informed by regulatory requirements</w:t>
      </w:r>
      <w:r w:rsidR="00DD25D2">
        <w:t>, the detailed construction methods,</w:t>
      </w:r>
      <w:r w:rsidR="00DD25D2" w:rsidRPr="00365432">
        <w:t xml:space="preserve"> and scale of environmental risk</w:t>
      </w:r>
      <w:r w:rsidR="00DD25D2">
        <w:t xml:space="preserve">, and monitoring programs would be </w:t>
      </w:r>
      <w:r w:rsidR="00DD25D2" w:rsidRPr="00365432">
        <w:t xml:space="preserve">subject to regular review. </w:t>
      </w:r>
    </w:p>
    <w:p w14:paraId="3C3F2322" w14:textId="37FD1F58" w:rsidR="003C78E5" w:rsidRPr="003C78E5" w:rsidRDefault="00236342" w:rsidP="00AC57BD">
      <w:pPr>
        <w:pStyle w:val="BodyText"/>
        <w:rPr>
          <w:rStyle w:val="BodyTextChar"/>
        </w:rPr>
      </w:pPr>
      <w:r>
        <w:t xml:space="preserve">The environmental management measures include specific contingency plans </w:t>
      </w:r>
      <w:r w:rsidRPr="00236342">
        <w:t>where these are required to support performance objectives</w:t>
      </w:r>
      <w:r>
        <w:t xml:space="preserve">. In addition, </w:t>
      </w:r>
      <w:r w:rsidRPr="00236342">
        <w:t>APA would implement incident and emergency response procedures to facilitate an efficient and effective response to unexpected environmental events that could arise during Project construction and operation, such as fuel or chemical spills</w:t>
      </w:r>
      <w:r>
        <w:t xml:space="preserve"> </w:t>
      </w:r>
      <w:r w:rsidRPr="00236342">
        <w:t>(</w:t>
      </w:r>
      <w:r>
        <w:t xml:space="preserve">refer to </w:t>
      </w:r>
      <w:r w:rsidRPr="00236342">
        <w:t>section 19.7.2</w:t>
      </w:r>
      <w:r>
        <w:t xml:space="preserve"> of </w:t>
      </w:r>
      <w:r w:rsidRPr="00236342">
        <w:t xml:space="preserve">Chapter 19 </w:t>
      </w:r>
      <w:r w:rsidRPr="00236342">
        <w:rPr>
          <w:rStyle w:val="Italics"/>
        </w:rPr>
        <w:t>Environmental management framework</w:t>
      </w:r>
      <w:r w:rsidRPr="00236342">
        <w:t>).</w:t>
      </w:r>
      <w:r>
        <w:t xml:space="preserve"> </w:t>
      </w:r>
      <w:r w:rsidRPr="00236342">
        <w:t>A</w:t>
      </w:r>
      <w:r>
        <w:t>PA would also investigate and respond to a</w:t>
      </w:r>
      <w:r w:rsidRPr="00236342">
        <w:t>ny complaints from the community regarding noise, waste, air emission or other pipeline construction or operation issues</w:t>
      </w:r>
      <w:r>
        <w:t xml:space="preserve"> (refer to </w:t>
      </w:r>
      <w:r w:rsidRPr="00236342">
        <w:t>section 19.7.3</w:t>
      </w:r>
      <w:r>
        <w:t xml:space="preserve"> of </w:t>
      </w:r>
      <w:r w:rsidRPr="00236342">
        <w:t xml:space="preserve">Chapter 19 </w:t>
      </w:r>
      <w:r w:rsidRPr="00236342">
        <w:rPr>
          <w:rStyle w:val="Italics"/>
        </w:rPr>
        <w:t>Environmental management framework</w:t>
      </w:r>
      <w:r>
        <w:t>)</w:t>
      </w:r>
      <w:r w:rsidRPr="00236342">
        <w:t>.</w:t>
      </w:r>
      <w:r w:rsidR="003C78E5" w:rsidRPr="003C78E5">
        <w:rPr>
          <w:rStyle w:val="BodyTextChar"/>
        </w:rPr>
        <w:br w:type="page"/>
      </w:r>
    </w:p>
    <w:p w14:paraId="1646555A" w14:textId="4B3FAD00" w:rsidR="00547D6A" w:rsidRPr="00547D6A" w:rsidRDefault="00547D6A" w:rsidP="00547D6A">
      <w:pPr>
        <w:pStyle w:val="Heading3"/>
      </w:pPr>
      <w:bookmarkStart w:id="69" w:name="_Toc71731603"/>
      <w:bookmarkStart w:id="70" w:name="_Toc72230985"/>
      <w:r>
        <w:lastRenderedPageBreak/>
        <w:t>Assessing cumulative impacts</w:t>
      </w:r>
      <w:bookmarkEnd w:id="69"/>
      <w:bookmarkEnd w:id="70"/>
    </w:p>
    <w:p w14:paraId="316F0CF7" w14:textId="77777777" w:rsidR="00E42246" w:rsidRDefault="00E42246" w:rsidP="00E42246">
      <w:pPr>
        <w:pStyle w:val="BodyText"/>
      </w:pPr>
      <w:r>
        <w:t>Other major projects occurring within the same geographic area, and likely to be constructed or in construction within approximately the next ten years, could compound the potential impacts of the Project, potentially leading to cumulative impacts.</w:t>
      </w:r>
    </w:p>
    <w:p w14:paraId="1F8D3EAD" w14:textId="125EEE35" w:rsidR="00E42246" w:rsidRDefault="00A30457" w:rsidP="00E42246">
      <w:pPr>
        <w:pStyle w:val="BodyText"/>
      </w:pPr>
      <w:r>
        <w:t>To assess cumulative impacts</w:t>
      </w:r>
      <w:r w:rsidR="00E42246">
        <w:t xml:space="preserve">, APA </w:t>
      </w:r>
      <w:r w:rsidR="0016441B">
        <w:t xml:space="preserve">considered the following key indicators: </w:t>
      </w:r>
    </w:p>
    <w:p w14:paraId="64EAD4CF" w14:textId="0CE11ED4" w:rsidR="00A30457" w:rsidRDefault="00A30457" w:rsidP="00672453">
      <w:pPr>
        <w:pStyle w:val="BodyBullet1"/>
      </w:pPr>
      <w:r>
        <w:t xml:space="preserve">Geographic </w:t>
      </w:r>
      <w:r w:rsidR="0016441B">
        <w:t>boundary</w:t>
      </w:r>
      <w:r>
        <w:t>:</w:t>
      </w:r>
      <w:r w:rsidR="0016441B">
        <w:t xml:space="preserve"> consideration of major projects occurring </w:t>
      </w:r>
      <w:r w:rsidR="00E42246">
        <w:t>within five to ten kilometres of the construction corridor</w:t>
      </w:r>
    </w:p>
    <w:p w14:paraId="34E9B6D3" w14:textId="6F8998D6" w:rsidR="00A30457" w:rsidRDefault="00A30457" w:rsidP="00672453">
      <w:pPr>
        <w:pStyle w:val="BodyBullet1"/>
      </w:pPr>
      <w:r>
        <w:t>Timing:</w:t>
      </w:r>
      <w:r w:rsidR="00E42246">
        <w:t xml:space="preserve"> projects to be construct</w:t>
      </w:r>
      <w:r w:rsidR="0016441B">
        <w:t>ed</w:t>
      </w:r>
      <w:r w:rsidR="00E42246">
        <w:t xml:space="preserve"> or in construction within approximately the next ten years</w:t>
      </w:r>
      <w:r w:rsidR="0016441B">
        <w:t>, noting the projects to be constructed at the same time as WORM</w:t>
      </w:r>
    </w:p>
    <w:p w14:paraId="2D7A82F8" w14:textId="12D389AA" w:rsidR="00A30457" w:rsidRDefault="0016441B" w:rsidP="00672453">
      <w:pPr>
        <w:pStyle w:val="BodyBullet1"/>
      </w:pPr>
      <w:r>
        <w:t>Construction impacts: c</w:t>
      </w:r>
      <w:r w:rsidR="00A30457">
        <w:t xml:space="preserve">onsideration of </w:t>
      </w:r>
      <w:r w:rsidR="00E42246">
        <w:t xml:space="preserve">cumulative </w:t>
      </w:r>
      <w:r w:rsidR="00A30457">
        <w:t>construction impacts</w:t>
      </w:r>
      <w:r w:rsidR="00E42246">
        <w:t xml:space="preserve">, where construction for adjacent projects </w:t>
      </w:r>
      <w:r w:rsidR="00AC57BD">
        <w:t>is</w:t>
      </w:r>
      <w:r w:rsidR="00E42246">
        <w:t xml:space="preserve"> occurring at the same time as WORM</w:t>
      </w:r>
    </w:p>
    <w:p w14:paraId="18B8286F" w14:textId="3C8D397C" w:rsidR="00A30457" w:rsidRDefault="0016441B" w:rsidP="00672453">
      <w:pPr>
        <w:pStyle w:val="BodyBullet1"/>
      </w:pPr>
      <w:r>
        <w:t>Operation impacts: c</w:t>
      </w:r>
      <w:r w:rsidR="00A30457">
        <w:t>onsideration</w:t>
      </w:r>
      <w:r w:rsidR="00E42246">
        <w:t xml:space="preserve"> of permanent cumulative impacts.</w:t>
      </w:r>
    </w:p>
    <w:p w14:paraId="2E5F97C0" w14:textId="5CA6C422" w:rsidR="00547D6A" w:rsidRDefault="00547D6A" w:rsidP="00547D6A">
      <w:pPr>
        <w:pStyle w:val="BodyText"/>
      </w:pPr>
      <w:r>
        <w:t xml:space="preserve">These potential impacts have been addressed through the environmental </w:t>
      </w:r>
      <w:r w:rsidR="00A30457">
        <w:t xml:space="preserve">impact </w:t>
      </w:r>
      <w:r>
        <w:t>assessment process undertaken for each technical study</w:t>
      </w:r>
      <w:r w:rsidR="0016441B">
        <w:t>,</w:t>
      </w:r>
      <w:r>
        <w:t xml:space="preserve"> as required.</w:t>
      </w:r>
      <w:r w:rsidR="00A30457">
        <w:t xml:space="preserve"> </w:t>
      </w:r>
      <w:r w:rsidR="00E42246">
        <w:t xml:space="preserve">Key </w:t>
      </w:r>
      <w:r w:rsidR="0016441B">
        <w:t xml:space="preserve">impacts identified within the cumulative impact assessments undertaken for each study </w:t>
      </w:r>
      <w:r w:rsidR="00E42246">
        <w:t>include</w:t>
      </w:r>
      <w:r w:rsidR="0016441B">
        <w:t>, but are not limited to,</w:t>
      </w:r>
      <w:r w:rsidR="00E42246">
        <w:t xml:space="preserve"> air quality (dust), noise, </w:t>
      </w:r>
      <w:r w:rsidR="0016441B">
        <w:t>ground</w:t>
      </w:r>
      <w:r w:rsidR="00C31631">
        <w:t> </w:t>
      </w:r>
      <w:r w:rsidR="0016441B">
        <w:t xml:space="preserve">movement and impacts to assets, </w:t>
      </w:r>
      <w:r w:rsidR="00E42246">
        <w:t>access</w:t>
      </w:r>
      <w:r w:rsidR="0016441B">
        <w:t>,</w:t>
      </w:r>
      <w:r w:rsidR="00E42246">
        <w:t xml:space="preserve"> amenity values, as well as permanent removal of native vegetation</w:t>
      </w:r>
      <w:r w:rsidR="0016441B">
        <w:t>.</w:t>
      </w:r>
    </w:p>
    <w:p w14:paraId="0AC849B7" w14:textId="40A9657B" w:rsidR="003235AB" w:rsidRDefault="00F97DCE" w:rsidP="00547D6A">
      <w:pPr>
        <w:pStyle w:val="BodyText"/>
      </w:pPr>
      <w:bookmarkStart w:id="71" w:name="_Hlk70500932"/>
      <w:r>
        <w:t>O</w:t>
      </w:r>
      <w:r w:rsidR="00547D6A">
        <w:t xml:space="preserve">ther projects assessed for cumulative impacts are the Outer Metropolitan Ring </w:t>
      </w:r>
      <w:r w:rsidR="004B2024">
        <w:t>(OMR)</w:t>
      </w:r>
      <w:r w:rsidR="00E613EA">
        <w:t>/</w:t>
      </w:r>
      <w:r w:rsidR="004B2024">
        <w:t xml:space="preserve">E6 </w:t>
      </w:r>
      <w:r w:rsidR="00547D6A">
        <w:t>transport corridor</w:t>
      </w:r>
      <w:r w:rsidR="004B2024">
        <w:t>s</w:t>
      </w:r>
      <w:r w:rsidR="00547D6A">
        <w:t>, the Sunbury Road Upgrade, the Bald-hill</w:t>
      </w:r>
      <w:r w:rsidR="00D34A31">
        <w:softHyphen/>
        <w:t>–</w:t>
      </w:r>
      <w:r w:rsidR="00547D6A">
        <w:t>Yan Yean Pipeline and the Western Victoria Transmission Network project.</w:t>
      </w:r>
    </w:p>
    <w:p w14:paraId="44BEF3E7" w14:textId="7CA74053" w:rsidR="002867E2" w:rsidRDefault="002867E2" w:rsidP="00547D6A">
      <w:pPr>
        <w:pStyle w:val="BodyText"/>
      </w:pPr>
      <w:bookmarkStart w:id="72" w:name="_Hlk66872791"/>
      <w:bookmarkEnd w:id="71"/>
      <w:r>
        <w:t>APA is considering the feasibility of constructing a new power station at Wollert and has funding to undertake preliminary design</w:t>
      </w:r>
      <w:r w:rsidR="00E50E71">
        <w:t xml:space="preserve"> and investigations to inform approvals. As this project is in the early concept phase, its potential cumulative impacts</w:t>
      </w:r>
      <w:r>
        <w:t xml:space="preserve"> </w:t>
      </w:r>
      <w:r w:rsidR="00E50E71">
        <w:t>have not been assessed as part of this EES.</w:t>
      </w:r>
    </w:p>
    <w:p w14:paraId="4773D1EC" w14:textId="77777777" w:rsidR="00547D6A" w:rsidRPr="00547D6A" w:rsidRDefault="00547D6A" w:rsidP="00547D6A">
      <w:pPr>
        <w:pStyle w:val="Heading3"/>
      </w:pPr>
      <w:bookmarkStart w:id="73" w:name="_Toc71731604"/>
      <w:bookmarkStart w:id="74" w:name="_Toc72230986"/>
      <w:bookmarkEnd w:id="72"/>
      <w:r>
        <w:t>Integrated assessment</w:t>
      </w:r>
      <w:bookmarkEnd w:id="73"/>
      <w:bookmarkEnd w:id="74"/>
    </w:p>
    <w:p w14:paraId="414918CF" w14:textId="5EC98F33" w:rsidR="00547D6A" w:rsidRPr="007046F1" w:rsidRDefault="00547D6A" w:rsidP="00547D6A">
      <w:pPr>
        <w:pStyle w:val="BodyText"/>
      </w:pPr>
      <w:r>
        <w:t>To fully identify and assess potential impacts, the EES has considered the existing conditions and potential impacts relevant to each aspect of the environment in isolation, as well as impacts that may</w:t>
      </w:r>
      <w:r w:rsidR="00E613EA">
        <w:t> </w:t>
      </w:r>
      <w:r>
        <w:t>result when a number of disciplines are considered together. This includes assessment of data</w:t>
      </w:r>
      <w:r w:rsidR="00E613EA">
        <w:t> </w:t>
      </w:r>
      <w:r>
        <w:t xml:space="preserve">collected for a different technical study or the reliance on one study’s result to inform the assessment within another study. These interfaces were identified through the concurrent preparation of the scopes for each specialist study and the participation of multiple specialists in the risk assessment workshop. </w:t>
      </w:r>
    </w:p>
    <w:p w14:paraId="0537F7AC" w14:textId="38DBD662" w:rsidR="003C78E5" w:rsidRDefault="00547D6A" w:rsidP="003C78E5">
      <w:pPr>
        <w:pStyle w:val="BodyText"/>
      </w:pPr>
      <w:r>
        <w:t>As a result, the environmental management measures do not operate in isolation and some technical studies have cross-referenced measures from other technical studies as relevant.</w:t>
      </w:r>
      <w:r w:rsidR="003C78E5">
        <w:br w:type="page"/>
      </w:r>
    </w:p>
    <w:p w14:paraId="1FC0DA76" w14:textId="77777777" w:rsidR="00547D6A" w:rsidRPr="00547D6A" w:rsidRDefault="00547D6A" w:rsidP="00547D6A">
      <w:pPr>
        <w:pStyle w:val="Heading2"/>
      </w:pPr>
      <w:bookmarkStart w:id="75" w:name="_Toc71731605"/>
      <w:bookmarkStart w:id="76" w:name="_Toc72230987"/>
      <w:r>
        <w:lastRenderedPageBreak/>
        <w:t>Project development</w:t>
      </w:r>
      <w:bookmarkEnd w:id="75"/>
      <w:bookmarkEnd w:id="76"/>
    </w:p>
    <w:p w14:paraId="44899AA3" w14:textId="77777777" w:rsidR="00547D6A" w:rsidRDefault="00547D6A" w:rsidP="00547D6A">
      <w:pPr>
        <w:pStyle w:val="BodyText"/>
      </w:pPr>
      <w:r>
        <w:t>Ongoing refinement of the Project is a key input to the EES as modifications to the design can lead to mitigation of environmental impacts. Project development encompasses activities such as consideration of Project alternatives, development of the Project design and the construction methodology. These activities occur in parallel with the preparation of the EES.</w:t>
      </w:r>
    </w:p>
    <w:p w14:paraId="6DFE3AC6" w14:textId="77777777" w:rsidR="00547D6A" w:rsidRDefault="00547D6A" w:rsidP="00547D6A">
      <w:pPr>
        <w:pStyle w:val="BodyText"/>
      </w:pPr>
      <w:r>
        <w:t xml:space="preserve">Refer to Chapter 3 </w:t>
      </w:r>
      <w:r w:rsidRPr="003104A8">
        <w:rPr>
          <w:rStyle w:val="Italics"/>
        </w:rPr>
        <w:t>Project development</w:t>
      </w:r>
      <w:r>
        <w:t xml:space="preserve"> and Chapter 4 </w:t>
      </w:r>
      <w:r w:rsidRPr="003104A8">
        <w:rPr>
          <w:rStyle w:val="Italics"/>
        </w:rPr>
        <w:t>Project description</w:t>
      </w:r>
      <w:r>
        <w:t xml:space="preserve"> for details of this process and the description of the design assessed by this EES.</w:t>
      </w:r>
    </w:p>
    <w:p w14:paraId="4D21BCC8" w14:textId="77777777" w:rsidR="00547D6A" w:rsidRPr="00547D6A" w:rsidRDefault="00547D6A" w:rsidP="00547D6A">
      <w:pPr>
        <w:pStyle w:val="Heading2"/>
      </w:pPr>
      <w:bookmarkStart w:id="77" w:name="_Toc71731606"/>
      <w:bookmarkStart w:id="78" w:name="_Toc72230988"/>
      <w:r>
        <w:t>Consultation</w:t>
      </w:r>
      <w:bookmarkEnd w:id="77"/>
      <w:bookmarkEnd w:id="78"/>
    </w:p>
    <w:p w14:paraId="2254326E" w14:textId="669D7FD2" w:rsidR="00547D6A" w:rsidRDefault="00547D6A" w:rsidP="00547D6A">
      <w:pPr>
        <w:pStyle w:val="BodyText"/>
      </w:pPr>
      <w:r>
        <w:t xml:space="preserve">A program of stakeholder and community engagement has been undertaken for the Project and will continue following the EES. This program commenced with consultation activities from mid-2018 before the preferred alignment was announced. The </w:t>
      </w:r>
      <w:r w:rsidR="00FA1692">
        <w:t xml:space="preserve">Project </w:t>
      </w:r>
      <w:r>
        <w:t xml:space="preserve">Consultation Plan </w:t>
      </w:r>
      <w:r w:rsidR="00A80522">
        <w:t>was approved under the Pipelines Act in January 2019</w:t>
      </w:r>
      <w:r w:rsidR="00FA1692">
        <w:t>. A Consultation Plan was also prepared specifically for the EES phase as required by the Minister's procedures and requirements applicable to the preparation of the</w:t>
      </w:r>
      <w:r w:rsidR="00E613EA">
        <w:t> </w:t>
      </w:r>
      <w:r w:rsidR="00FA1692">
        <w:t>EES and the scoping requirements</w:t>
      </w:r>
      <w:r w:rsidR="00A80522">
        <w:t xml:space="preserve"> </w:t>
      </w:r>
      <w:r w:rsidR="00FA1692">
        <w:t>for the</w:t>
      </w:r>
      <w:r>
        <w:t xml:space="preserve"> </w:t>
      </w:r>
      <w:r w:rsidR="00FA1692">
        <w:t>P</w:t>
      </w:r>
      <w:r>
        <w:t>roject communications and engagement specific to the</w:t>
      </w:r>
      <w:r w:rsidR="00E613EA">
        <w:t> </w:t>
      </w:r>
      <w:r>
        <w:t>EES.</w:t>
      </w:r>
    </w:p>
    <w:p w14:paraId="131F5D69" w14:textId="6D1BFE34" w:rsidR="00547D6A" w:rsidRDefault="00547D6A" w:rsidP="00547D6A">
      <w:pPr>
        <w:pStyle w:val="BodyText"/>
      </w:pPr>
      <w:r>
        <w:t>Consultation included providing updates on project progress, seeking input on Project design development, and identify</w:t>
      </w:r>
      <w:r w:rsidR="005D0A67">
        <w:t>ing</w:t>
      </w:r>
      <w:r>
        <w:t xml:space="preserve"> and respond</w:t>
      </w:r>
      <w:r w:rsidR="005D0A67">
        <w:t>ing</w:t>
      </w:r>
      <w:r>
        <w:t xml:space="preserve"> to stakeholder and community concerns and interests. </w:t>
      </w:r>
    </w:p>
    <w:p w14:paraId="354F4882" w14:textId="67EFA0C6" w:rsidR="00547D6A" w:rsidRDefault="005D0A67" w:rsidP="00547D6A">
      <w:pPr>
        <w:pStyle w:val="BodyText"/>
      </w:pPr>
      <w:r>
        <w:t>S</w:t>
      </w:r>
      <w:r w:rsidR="00547D6A">
        <w:t xml:space="preserve">takeholder and community consultation </w:t>
      </w:r>
      <w:r>
        <w:t xml:space="preserve">findings </w:t>
      </w:r>
      <w:r w:rsidR="00547D6A">
        <w:t>were considered during design development</w:t>
      </w:r>
      <w:r w:rsidR="005B1249">
        <w:t>, EES risk assessment</w:t>
      </w:r>
      <w:r w:rsidR="00547D6A">
        <w:t xml:space="preserve"> and </w:t>
      </w:r>
      <w:r>
        <w:t>EES</w:t>
      </w:r>
      <w:r w:rsidR="00547D6A">
        <w:t xml:space="preserve"> preparation.</w:t>
      </w:r>
    </w:p>
    <w:p w14:paraId="3D9D6204" w14:textId="77777777" w:rsidR="00547D6A" w:rsidRDefault="00547D6A" w:rsidP="00547D6A">
      <w:pPr>
        <w:pStyle w:val="BodyText"/>
      </w:pPr>
      <w:r>
        <w:t>The main forms of consultation have included:</w:t>
      </w:r>
    </w:p>
    <w:p w14:paraId="4E5BDBBC" w14:textId="77777777" w:rsidR="00547D6A" w:rsidRPr="00547D6A" w:rsidRDefault="00547D6A" w:rsidP="00500036">
      <w:pPr>
        <w:pStyle w:val="BodyBullet1"/>
      </w:pPr>
      <w:r>
        <w:t>Meetings with councils, community groups and peak bodies</w:t>
      </w:r>
    </w:p>
    <w:p w14:paraId="35098C5F" w14:textId="2E5EE4BA" w:rsidR="00547D6A" w:rsidRPr="00547D6A" w:rsidRDefault="00547D6A" w:rsidP="00500036">
      <w:pPr>
        <w:pStyle w:val="BodyBullet1"/>
      </w:pPr>
      <w:r>
        <w:t>Meetings with owners and occupiers of land along the Project alignment</w:t>
      </w:r>
    </w:p>
    <w:p w14:paraId="09796CE5" w14:textId="53D291D2" w:rsidR="00A1089A" w:rsidRDefault="00A1089A" w:rsidP="00500036">
      <w:pPr>
        <w:pStyle w:val="BodyBullet1"/>
      </w:pPr>
      <w:r>
        <w:t>Meetings and field work with the Registered Aboriginal Party WWCHAC and Traditional Owners</w:t>
      </w:r>
    </w:p>
    <w:p w14:paraId="31190813" w14:textId="7D3AEC35" w:rsidR="00A1089A" w:rsidRPr="00547D6A" w:rsidRDefault="00915989" w:rsidP="00500036">
      <w:pPr>
        <w:pStyle w:val="BodyBullet1"/>
      </w:pPr>
      <w:r>
        <w:t>Community information forums open for public attendance</w:t>
      </w:r>
    </w:p>
    <w:p w14:paraId="4A5AE084" w14:textId="10A390D4" w:rsidR="00547D6A" w:rsidRPr="00547D6A" w:rsidRDefault="00547D6A" w:rsidP="00500036">
      <w:pPr>
        <w:pStyle w:val="BodyBullet1"/>
      </w:pPr>
      <w:r>
        <w:t>The EES Technical Reference Group (TRG) made up of councils and relevant government</w:t>
      </w:r>
      <w:r w:rsidR="00E613EA">
        <w:t> </w:t>
      </w:r>
      <w:r>
        <w:t xml:space="preserve">agencies. </w:t>
      </w:r>
    </w:p>
    <w:p w14:paraId="44B03D8B" w14:textId="6EF7AC0F" w:rsidR="0062480D" w:rsidRPr="00547D6A" w:rsidRDefault="00547D6A" w:rsidP="00547D6A">
      <w:pPr>
        <w:pStyle w:val="BodyText"/>
      </w:pPr>
      <w:r>
        <w:t xml:space="preserve">Chapter 6 </w:t>
      </w:r>
      <w:r w:rsidR="00E537AB">
        <w:rPr>
          <w:rStyle w:val="Italics"/>
        </w:rPr>
        <w:t>Community and stakeholder consultation</w:t>
      </w:r>
      <w:r>
        <w:t xml:space="preserve"> provides further details on the stakeholder and community engagement for the Project.</w:t>
      </w:r>
    </w:p>
    <w:sectPr w:rsidR="0062480D" w:rsidRPr="00547D6A" w:rsidSect="00E613EA">
      <w:footerReference w:type="default" r:id="rId22"/>
      <w:type w:val="oddPage"/>
      <w:pgSz w:w="11906" w:h="16838" w:code="9"/>
      <w:pgMar w:top="1418" w:right="1418" w:bottom="1418" w:left="1418" w:header="567" w:footer="567"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3FC7D" w14:textId="77777777" w:rsidR="00703C5C" w:rsidRDefault="00703C5C" w:rsidP="00A02FC6">
      <w:r>
        <w:separator/>
      </w:r>
    </w:p>
  </w:endnote>
  <w:endnote w:type="continuationSeparator" w:id="0">
    <w:p w14:paraId="4185F5F5" w14:textId="77777777" w:rsidR="00703C5C" w:rsidRDefault="00703C5C" w:rsidP="00A02FC6">
      <w:r>
        <w:continuationSeparator/>
      </w:r>
    </w:p>
  </w:endnote>
  <w:endnote w:type="continuationNotice" w:id="1">
    <w:p w14:paraId="7C68C872" w14:textId="77777777" w:rsidR="00703C5C" w:rsidRDefault="00703C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5FF4" w14:textId="72DC88B9" w:rsidR="00CD3627" w:rsidRPr="00A825FD" w:rsidRDefault="00CD3627" w:rsidP="00A81947">
    <w:pPr>
      <w:pStyle w:val="Footer"/>
    </w:pPr>
    <w:r>
      <w:rPr>
        <w:noProof w:val="0"/>
      </w:rPr>
      <w:fldChar w:fldCharType="begin"/>
    </w:r>
    <w:r>
      <w:instrText xml:space="preserve"> PAGE   \* MERGEFORMAT </w:instrText>
    </w:r>
    <w:r>
      <w:rPr>
        <w:noProof w:val="0"/>
      </w:rPr>
      <w:fldChar w:fldCharType="separate"/>
    </w:r>
    <w:r>
      <w:t>5-12</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9A087F">
      <w:instrText>5</w:instrText>
    </w:r>
    <w:r>
      <w:fldChar w:fldCharType="end"/>
    </w:r>
    <w:r>
      <w:instrText>&lt;&gt;"Error*""</w:instrText>
    </w:r>
    <w:r>
      <w:fldChar w:fldCharType="begin"/>
    </w:r>
    <w:r>
      <w:instrText xml:space="preserve"> STYLEREF "Heading 1" </w:instrText>
    </w:r>
    <w:r w:rsidRPr="004F4EF2">
      <w:instrText>\n</w:instrText>
    </w:r>
    <w:r>
      <w:fldChar w:fldCharType="separate"/>
    </w:r>
    <w:r w:rsidR="009A087F">
      <w:instrText>5</w:instrText>
    </w:r>
    <w:r>
      <w:fldChar w:fldCharType="end"/>
    </w:r>
    <w:r>
      <w:instrText>"</w:instrText>
    </w:r>
    <w:r>
      <w:fldChar w:fldCharType="separate"/>
    </w:r>
    <w:r w:rsidR="009A087F">
      <w:t>5</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9A087F">
      <w:instrText>Evaluation and assessment framework</w:instrText>
    </w:r>
    <w:r>
      <w:fldChar w:fldCharType="end"/>
    </w:r>
    <w:r>
      <w:instrText>&lt;&gt;"Error*""</w:instrText>
    </w:r>
    <w:r>
      <w:fldChar w:fldCharType="begin"/>
    </w:r>
    <w:r>
      <w:instrText xml:space="preserve"> STYLEREF "Heading 1" </w:instrText>
    </w:r>
    <w:r>
      <w:fldChar w:fldCharType="separate"/>
    </w:r>
    <w:r w:rsidR="009A087F">
      <w:instrText>Evaluation and assessment framework</w:instrText>
    </w:r>
    <w:r>
      <w:fldChar w:fldCharType="end"/>
    </w:r>
    <w:r>
      <w:instrText>"</w:instrText>
    </w:r>
    <w:r>
      <w:fldChar w:fldCharType="separate"/>
    </w:r>
    <w:r w:rsidR="009A087F">
      <w:t>Evaluation and assessment framework</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8A0A" w14:textId="0908F939" w:rsidR="00CD3627" w:rsidRPr="00204A6F" w:rsidRDefault="00CD3627"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9A087F">
      <w:instrText>5</w:instrText>
    </w:r>
    <w:r>
      <w:fldChar w:fldCharType="end"/>
    </w:r>
    <w:r>
      <w:instrText>&lt;&gt;"Error*""</w:instrText>
    </w:r>
    <w:r>
      <w:fldChar w:fldCharType="begin"/>
    </w:r>
    <w:r>
      <w:instrText xml:space="preserve"> STYLEREF "Heading 1" </w:instrText>
    </w:r>
    <w:r w:rsidRPr="004F4EF2">
      <w:instrText>\n</w:instrText>
    </w:r>
    <w:r>
      <w:fldChar w:fldCharType="separate"/>
    </w:r>
    <w:r w:rsidR="009A087F">
      <w:instrText>5</w:instrText>
    </w:r>
    <w:r>
      <w:fldChar w:fldCharType="end"/>
    </w:r>
    <w:r>
      <w:instrText>"</w:instrText>
    </w:r>
    <w:r>
      <w:fldChar w:fldCharType="separate"/>
    </w:r>
    <w:r w:rsidR="009A087F">
      <w:t>5</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9A087F">
      <w:instrText>Evaluation and assessment framework</w:instrText>
    </w:r>
    <w:r>
      <w:fldChar w:fldCharType="end"/>
    </w:r>
    <w:r>
      <w:instrText>&lt;&gt;"Error*""</w:instrText>
    </w:r>
    <w:r>
      <w:fldChar w:fldCharType="begin"/>
    </w:r>
    <w:r>
      <w:instrText xml:space="preserve"> STYLEREF "Heading 1" </w:instrText>
    </w:r>
    <w:r>
      <w:fldChar w:fldCharType="separate"/>
    </w:r>
    <w:r w:rsidR="009A087F">
      <w:instrText>Evaluation and assessment framework</w:instrText>
    </w:r>
    <w:r>
      <w:fldChar w:fldCharType="end"/>
    </w:r>
    <w:r>
      <w:instrText>"</w:instrText>
    </w:r>
    <w:r>
      <w:fldChar w:fldCharType="separate"/>
    </w:r>
    <w:r w:rsidR="009A087F">
      <w:t>Evaluation and assessment framework</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5-13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C1033" w14:textId="4F6F66E8" w:rsidR="00AC57BD" w:rsidRPr="00204A6F" w:rsidRDefault="00AC57BD"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9A087F">
      <w:instrText>5</w:instrText>
    </w:r>
    <w:r>
      <w:fldChar w:fldCharType="end"/>
    </w:r>
    <w:r>
      <w:instrText>&lt;&gt;"Error*""</w:instrText>
    </w:r>
    <w:r>
      <w:fldChar w:fldCharType="begin"/>
    </w:r>
    <w:r>
      <w:instrText xml:space="preserve"> STYLEREF "Heading 1" </w:instrText>
    </w:r>
    <w:r w:rsidRPr="004F4EF2">
      <w:instrText>\n</w:instrText>
    </w:r>
    <w:r>
      <w:fldChar w:fldCharType="separate"/>
    </w:r>
    <w:r w:rsidR="009A087F">
      <w:instrText>5</w:instrText>
    </w:r>
    <w:r>
      <w:fldChar w:fldCharType="end"/>
    </w:r>
    <w:r>
      <w:instrText>"</w:instrText>
    </w:r>
    <w:r>
      <w:fldChar w:fldCharType="separate"/>
    </w:r>
    <w:r w:rsidR="009A087F">
      <w:t>5</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9A087F">
      <w:instrText>Evaluation and assessment framework</w:instrText>
    </w:r>
    <w:r>
      <w:fldChar w:fldCharType="end"/>
    </w:r>
    <w:r>
      <w:instrText>&lt;&gt;"Error*""</w:instrText>
    </w:r>
    <w:r>
      <w:fldChar w:fldCharType="begin"/>
    </w:r>
    <w:r>
      <w:instrText xml:space="preserve"> STYLEREF "Heading 1" </w:instrText>
    </w:r>
    <w:r>
      <w:fldChar w:fldCharType="separate"/>
    </w:r>
    <w:r w:rsidR="009A087F">
      <w:instrText>Evaluation and assessment framework</w:instrText>
    </w:r>
    <w:r>
      <w:fldChar w:fldCharType="end"/>
    </w:r>
    <w:r>
      <w:instrText>"</w:instrText>
    </w:r>
    <w:r>
      <w:fldChar w:fldCharType="separate"/>
    </w:r>
    <w:r w:rsidR="009A087F">
      <w:t>Evaluation and assessment framework</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5-13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09BC3" w14:textId="77777777" w:rsidR="00703C5C" w:rsidRDefault="00703C5C" w:rsidP="0036083B">
      <w:pPr>
        <w:spacing w:before="360"/>
      </w:pPr>
      <w:r>
        <w:separator/>
      </w:r>
    </w:p>
  </w:footnote>
  <w:footnote w:type="continuationSeparator" w:id="0">
    <w:p w14:paraId="2BC68560" w14:textId="77777777" w:rsidR="00703C5C" w:rsidRDefault="00703C5C" w:rsidP="0036083B">
      <w:pPr>
        <w:spacing w:before="360"/>
      </w:pPr>
      <w:r>
        <w:continuationSeparator/>
      </w:r>
    </w:p>
  </w:footnote>
  <w:footnote w:type="continuationNotice" w:id="1">
    <w:p w14:paraId="28609E87" w14:textId="77777777" w:rsidR="00703C5C" w:rsidRDefault="00703C5C" w:rsidP="00A02FC6"/>
  </w:footnote>
  <w:footnote w:id="2">
    <w:p w14:paraId="658B899B" w14:textId="6A514A65" w:rsidR="00CD3627" w:rsidRPr="00463A69" w:rsidRDefault="00CD3627" w:rsidP="00900490">
      <w:pPr>
        <w:pStyle w:val="FootnoteText"/>
        <w:rPr>
          <w:lang w:val="en-US"/>
        </w:rPr>
      </w:pPr>
      <w:r>
        <w:rPr>
          <w:rStyle w:val="FootnoteReference"/>
        </w:rPr>
        <w:footnoteRef/>
      </w:r>
      <w:r w:rsidR="003C78E5">
        <w:tab/>
      </w:r>
      <w:r>
        <w:t xml:space="preserve">Department of Environment (2013). </w:t>
      </w:r>
      <w:r w:rsidRPr="00E00456">
        <w:t>Matters of National Environmental Significance: Significant impact guidelines 1.1</w:t>
      </w:r>
      <w:r>
        <w:t xml:space="preserve">., </w:t>
      </w:r>
      <w:r w:rsidRPr="00E00456">
        <w:t>Environment Protection and Biodiversity Conservation Act 1999</w:t>
      </w:r>
      <w:r>
        <w:t>. Department of Environment, Australian Government.</w:t>
      </w:r>
    </w:p>
  </w:footnote>
  <w:footnote w:id="3">
    <w:p w14:paraId="391C1FF1" w14:textId="70BD4700" w:rsidR="00CD3627" w:rsidRDefault="00CD3627">
      <w:pPr>
        <w:pStyle w:val="FootnoteText"/>
      </w:pPr>
      <w:r>
        <w:rPr>
          <w:rStyle w:val="FootnoteReference"/>
        </w:rPr>
        <w:footnoteRef/>
      </w:r>
      <w:r w:rsidR="00E613EA">
        <w:tab/>
      </w:r>
      <w:r>
        <w:t>Noting that no approval is required under this Act due to section 85 of the Pipelines Act 2005</w:t>
      </w:r>
      <w:r w:rsidR="00E613EA">
        <w:t>.</w:t>
      </w:r>
    </w:p>
  </w:footnote>
  <w:footnote w:id="4">
    <w:p w14:paraId="7A2424C3" w14:textId="700928B7" w:rsidR="00CD3627" w:rsidRDefault="00CD3627">
      <w:pPr>
        <w:pStyle w:val="FootnoteText"/>
      </w:pPr>
      <w:r>
        <w:rPr>
          <w:rStyle w:val="FootnoteReference"/>
        </w:rPr>
        <w:footnoteRef/>
      </w:r>
      <w:r w:rsidR="00CB4637">
        <w:tab/>
      </w:r>
      <w:r>
        <w:t>Noting that no approval is required under this Act due to section 85 of the Pipelines Act 2005</w:t>
      </w:r>
      <w:r w:rsidR="00AC57B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FF84" w14:textId="77777777" w:rsidR="00CD3627" w:rsidRDefault="00CD3627" w:rsidP="0014525F">
    <w:pPr>
      <w:pStyle w:val="HeaderEven"/>
    </w:pPr>
    <w:r w:rsidRPr="00F3331F">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A186" w14:textId="77777777" w:rsidR="00CD3627" w:rsidRDefault="00CD3627" w:rsidP="00F3331F">
    <w:pPr>
      <w:pStyle w:val="Header"/>
      <w:jc w:val="right"/>
    </w:pPr>
    <w:r>
      <w:rPr>
        <w:noProof/>
        <w:lang w:eastAsia="en-AU"/>
      </w:rPr>
      <w:drawing>
        <wp:inline distT="0" distB="0" distL="0" distR="0" wp14:anchorId="33A02F53" wp14:editId="2344628A">
          <wp:extent cx="2937600" cy="529200"/>
          <wp:effectExtent l="0" t="0" r="0" b="4445"/>
          <wp:docPr id="5" name="Picture 5" descr="APA_ProjectBranding_Draft-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_ProjectBranding_Draft-0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7600" cy="529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8CD9" w14:textId="34DE7CE8" w:rsidR="00CD3627" w:rsidRPr="000D7CAF" w:rsidRDefault="00CD3627"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9A087F">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85EA" w14:textId="36636493" w:rsidR="00CD3627" w:rsidRPr="000D7CAF" w:rsidRDefault="00CD3627"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C61418">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D7D2843"/>
    <w:multiLevelType w:val="multilevel"/>
    <w:tmpl w:val="13B0B224"/>
    <w:lvl w:ilvl="0">
      <w:start w:val="1"/>
      <w:numFmt w:val="bullet"/>
      <w:pStyle w:val="TableBullet1"/>
      <w:lvlText w:val=""/>
      <w:lvlJc w:val="left"/>
      <w:pPr>
        <w:ind w:left="340" w:hanging="340"/>
      </w:pPr>
      <w:rPr>
        <w:rFonts w:ascii="Symbol" w:hAnsi="Symbol" w:hint="default"/>
        <w:b w:val="0"/>
        <w:i w:val="0"/>
        <w:color w:val="1C4483" w:themeColor="accent1"/>
        <w:sz w:val="18"/>
      </w:rPr>
    </w:lvl>
    <w:lvl w:ilvl="1">
      <w:start w:val="1"/>
      <w:numFmt w:val="bullet"/>
      <w:pStyle w:val="TableBullet2"/>
      <w:lvlText w:val="–"/>
      <w:lvlJc w:val="left"/>
      <w:pPr>
        <w:ind w:left="680" w:hanging="340"/>
      </w:pPr>
      <w:rPr>
        <w:rFonts w:hint="default"/>
        <w:b w:val="0"/>
        <w:i w:val="0"/>
        <w:color w:val="1C4483" w:themeColor="accent1"/>
        <w:sz w:val="18"/>
      </w:rPr>
    </w:lvl>
    <w:lvl w:ilvl="2">
      <w:start w:val="1"/>
      <w:numFmt w:val="bullet"/>
      <w:pStyle w:val="TableBullet3"/>
      <w:lvlText w:val="-"/>
      <w:lvlJc w:val="left"/>
      <w:pPr>
        <w:ind w:left="1020" w:hanging="340"/>
      </w:pPr>
      <w:rPr>
        <w:rFonts w:hint="default"/>
        <w:b w:val="0"/>
        <w:i w:val="0"/>
        <w:color w:val="1C4483" w:themeColor="accen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1C4483" w:themeColor="accent1"/>
        <w:sz w:val="18"/>
      </w:rPr>
    </w:lvl>
    <w:lvl w:ilvl="1">
      <w:start w:val="1"/>
      <w:numFmt w:val="bullet"/>
      <w:lvlText w:val="–"/>
      <w:lvlJc w:val="left"/>
      <w:pPr>
        <w:ind w:left="680" w:hanging="340"/>
      </w:pPr>
      <w:rPr>
        <w:rFonts w:ascii="Arial" w:hAnsi="Arial" w:hint="default"/>
        <w:b w:val="0"/>
        <w:i w:val="0"/>
        <w:color w:val="1C4483" w:themeColor="accent1"/>
        <w:sz w:val="18"/>
      </w:rPr>
    </w:lvl>
    <w:lvl w:ilvl="2">
      <w:start w:val="1"/>
      <w:numFmt w:val="bullet"/>
      <w:lvlText w:val="-"/>
      <w:lvlJc w:val="left"/>
      <w:pPr>
        <w:ind w:left="1020" w:hanging="340"/>
      </w:pPr>
      <w:rPr>
        <w:rFonts w:ascii="Arial" w:hAnsi="Arial" w:hint="default"/>
        <w:b w:val="0"/>
        <w:i w:val="0"/>
        <w:color w:val="1C4483"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2F021BB3"/>
    <w:multiLevelType w:val="multilevel"/>
    <w:tmpl w:val="572829B8"/>
    <w:lvl w:ilvl="0">
      <w:start w:val="1"/>
      <w:numFmt w:val="decimal"/>
      <w:lvlText w:val="%1"/>
      <w:lvlJc w:val="left"/>
      <w:pPr>
        <w:ind w:left="340" w:hanging="340"/>
      </w:pPr>
      <w:rPr>
        <w:rFonts w:hint="default"/>
        <w:color w:val="1C4483" w:themeColor="accent1"/>
      </w:rPr>
    </w:lvl>
    <w:lvl w:ilvl="1">
      <w:start w:val="1"/>
      <w:numFmt w:val="lowerLetter"/>
      <w:lvlText w:val="%2"/>
      <w:lvlJc w:val="left"/>
      <w:pPr>
        <w:ind w:left="680" w:hanging="340"/>
      </w:pPr>
      <w:rPr>
        <w:rFonts w:hint="default"/>
        <w:color w:val="1C4483" w:themeColor="accent1"/>
      </w:rPr>
    </w:lvl>
    <w:lvl w:ilvl="2">
      <w:start w:val="1"/>
      <w:numFmt w:val="lowerRoman"/>
      <w:lvlText w:val="%3"/>
      <w:lvlJc w:val="left"/>
      <w:pPr>
        <w:ind w:left="1021" w:hanging="341"/>
      </w:pPr>
      <w:rPr>
        <w:rFonts w:hint="default"/>
        <w:color w:val="1C4483"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76723A4"/>
    <w:multiLevelType w:val="multilevel"/>
    <w:tmpl w:val="7254858E"/>
    <w:lvl w:ilvl="0">
      <w:start w:val="1"/>
      <w:numFmt w:val="decimal"/>
      <w:lvlText w:val="%1"/>
      <w:lvlJc w:val="left"/>
      <w:pPr>
        <w:ind w:left="340" w:hanging="340"/>
      </w:pPr>
      <w:rPr>
        <w:rFonts w:hint="default"/>
        <w:b w:val="0"/>
        <w:i w:val="0"/>
        <w:sz w:val="20"/>
      </w:rPr>
    </w:lvl>
    <w:lvl w:ilvl="1">
      <w:start w:val="1"/>
      <w:numFmt w:val="lowerLetter"/>
      <w:lvlText w:val="%2"/>
      <w:lvlJc w:val="left"/>
      <w:pPr>
        <w:ind w:left="680" w:hanging="340"/>
      </w:pPr>
      <w:rPr>
        <w:rFonts w:hint="default"/>
        <w:b w:val="0"/>
        <w:i w:val="0"/>
        <w:sz w:val="20"/>
      </w:rPr>
    </w:lvl>
    <w:lvl w:ilvl="2">
      <w:start w:val="1"/>
      <w:numFmt w:val="lowerRoman"/>
      <w:lvlText w:val="%3"/>
      <w:lvlJc w:val="right"/>
      <w:pPr>
        <w:ind w:left="1021" w:hanging="341"/>
      </w:pPr>
      <w:rPr>
        <w:rFonts w:hint="default"/>
        <w:b w:val="0"/>
        <w:i w:val="0"/>
        <w:sz w:val="2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3C3B60EA"/>
    <w:multiLevelType w:val="multilevel"/>
    <w:tmpl w:val="6652C186"/>
    <w:lvl w:ilvl="0">
      <w:start w:val="5"/>
      <w:numFmt w:val="decimal"/>
      <w:lvlText w:val="%1"/>
      <w:lvlJc w:val="left"/>
      <w:pPr>
        <w:tabs>
          <w:tab w:val="num" w:pos="0"/>
        </w:tabs>
        <w:ind w:left="0" w:hanging="964"/>
      </w:pPr>
      <w:rPr>
        <w:rFonts w:hint="default"/>
      </w:rPr>
    </w:lvl>
    <w:lvl w:ilvl="1">
      <w:start w:val="1"/>
      <w:numFmt w:val="decimal"/>
      <w:lvlText w:val="%1.%2"/>
      <w:lvlJc w:val="left"/>
      <w:pPr>
        <w:tabs>
          <w:tab w:val="num" w:pos="0"/>
        </w:tabs>
        <w:ind w:left="0" w:hanging="964"/>
      </w:pPr>
      <w:rPr>
        <w:rFonts w:hint="default"/>
      </w:rPr>
    </w:lvl>
    <w:lvl w:ilvl="2">
      <w:start w:val="1"/>
      <w:numFmt w:val="decimal"/>
      <w:lvlText w:val="%1.%2.%3"/>
      <w:lvlJc w:val="left"/>
      <w:pPr>
        <w:tabs>
          <w:tab w:val="num" w:pos="0"/>
        </w:tabs>
        <w:ind w:left="0" w:hanging="964"/>
      </w:pPr>
      <w:rPr>
        <w:rFonts w:hint="default"/>
      </w:rPr>
    </w:lvl>
    <w:lvl w:ilvl="3">
      <w:start w:val="1"/>
      <w:numFmt w:val="decimal"/>
      <w:lvlText w:val="%1.%2.%3.%4"/>
      <w:lvlJc w:val="left"/>
      <w:pPr>
        <w:tabs>
          <w:tab w:val="num" w:pos="20"/>
        </w:tabs>
        <w:ind w:left="0" w:hanging="9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F13E44"/>
    <w:multiLevelType w:val="multilevel"/>
    <w:tmpl w:val="BDFAA078"/>
    <w:lvl w:ilvl="0">
      <w:start w:val="1"/>
      <w:numFmt w:val="upperLetter"/>
      <w:lvlText w:val="Appendix %1"/>
      <w:lvlJc w:val="left"/>
      <w:pPr>
        <w:ind w:left="0" w:firstLine="0"/>
      </w:pPr>
      <w:rPr>
        <w:rFonts w:hint="default"/>
        <w:b w:val="0"/>
        <w:i w:val="0"/>
        <w:color w:val="25282A" w:themeColor="text2"/>
        <w:sz w:val="40"/>
        <w:szCs w:val="36"/>
      </w:rPr>
    </w:lvl>
    <w:lvl w:ilvl="1">
      <w:start w:val="1"/>
      <w:numFmt w:val="decimal"/>
      <w:lvlText w:val="%1.%2"/>
      <w:lvlJc w:val="left"/>
      <w:pPr>
        <w:ind w:left="1021" w:hanging="1021"/>
      </w:pPr>
      <w:rPr>
        <w:rFonts w:hint="default"/>
        <w:b w:val="0"/>
        <w:i w:val="0"/>
        <w:color w:val="25282A" w:themeColor="text2"/>
        <w:sz w:val="36"/>
        <w:szCs w:val="32"/>
      </w:rPr>
    </w:lvl>
    <w:lvl w:ilvl="2">
      <w:start w:val="1"/>
      <w:numFmt w:val="decimal"/>
      <w:lvlText w:val="%1.%2.%3"/>
      <w:lvlJc w:val="left"/>
      <w:pPr>
        <w:ind w:left="1191" w:hanging="1191"/>
      </w:pPr>
      <w:rPr>
        <w:rFonts w:hint="default"/>
        <w:b w:val="0"/>
        <w:i w:val="0"/>
        <w:color w:val="25282A" w:themeColor="text2"/>
        <w:sz w:val="32"/>
        <w:szCs w:val="28"/>
      </w:rPr>
    </w:lvl>
    <w:lvl w:ilvl="3">
      <w:start w:val="1"/>
      <w:numFmt w:val="decimal"/>
      <w:lvlText w:val="%1.%2.%3.%4."/>
      <w:lvlJc w:val="left"/>
      <w:pPr>
        <w:ind w:left="1728" w:hanging="648"/>
      </w:pPr>
      <w:rPr>
        <w:rFonts w:hint="default"/>
        <w:color w:val="25282A" w:themeColor="text2"/>
      </w:rPr>
    </w:lvl>
    <w:lvl w:ilvl="4">
      <w:start w:val="1"/>
      <w:numFmt w:val="decimal"/>
      <w:lvlText w:val="%1.%2.%3.%4.%5."/>
      <w:lvlJc w:val="left"/>
      <w:pPr>
        <w:ind w:left="2232" w:hanging="792"/>
      </w:pPr>
      <w:rPr>
        <w:rFonts w:hint="default"/>
        <w:color w:val="25282A" w:themeColor="text2"/>
      </w:rPr>
    </w:lvl>
    <w:lvl w:ilvl="5">
      <w:start w:val="1"/>
      <w:numFmt w:val="decimal"/>
      <w:lvlText w:val="%1.%2.%3.%4.%5.%6."/>
      <w:lvlJc w:val="left"/>
      <w:pPr>
        <w:ind w:left="2736" w:hanging="936"/>
      </w:pPr>
      <w:rPr>
        <w:rFonts w:hint="default"/>
        <w:color w:val="25282A" w:themeColor="text2"/>
      </w:rPr>
    </w:lvl>
    <w:lvl w:ilvl="6">
      <w:start w:val="1"/>
      <w:numFmt w:val="decimal"/>
      <w:lvlText w:val="%1.%2.%3.%4.%5.%6.%7."/>
      <w:lvlJc w:val="left"/>
      <w:pPr>
        <w:ind w:left="3240" w:hanging="1080"/>
      </w:pPr>
      <w:rPr>
        <w:rFonts w:hint="default"/>
        <w:b w:val="0"/>
        <w:i w:val="0"/>
        <w:color w:val="1C4483" w:themeColor="accent1"/>
        <w:sz w:val="22"/>
      </w:rPr>
    </w:lvl>
    <w:lvl w:ilvl="7">
      <w:start w:val="1"/>
      <w:numFmt w:val="decimal"/>
      <w:lvlText w:val="%1.%2.%3.%4.%5.%6.%7.%8."/>
      <w:lvlJc w:val="left"/>
      <w:pPr>
        <w:ind w:left="3744" w:hanging="1224"/>
      </w:pPr>
      <w:rPr>
        <w:rFonts w:hint="default"/>
        <w:b w:val="0"/>
        <w:i w:val="0"/>
        <w:color w:val="1C4483" w:themeColor="accent1"/>
        <w:sz w:val="22"/>
      </w:rPr>
    </w:lvl>
    <w:lvl w:ilvl="8">
      <w:start w:val="1"/>
      <w:numFmt w:val="decimal"/>
      <w:lvlText w:val="%1.%2.%3.%4.%5.%6.%7.%8.%9."/>
      <w:lvlJc w:val="left"/>
      <w:pPr>
        <w:ind w:left="4320" w:hanging="1440"/>
      </w:pPr>
      <w:rPr>
        <w:rFonts w:hint="default"/>
        <w:b w:val="0"/>
        <w:i w:val="0"/>
        <w:color w:val="1C4483" w:themeColor="accent1"/>
        <w:sz w:val="22"/>
      </w:rPr>
    </w:lvl>
  </w:abstractNum>
  <w:abstractNum w:abstractNumId="18"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BB205BE"/>
    <w:multiLevelType w:val="multilevel"/>
    <w:tmpl w:val="96FCADC0"/>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4D508BE"/>
    <w:multiLevelType w:val="multilevel"/>
    <w:tmpl w:val="B1B2A2BC"/>
    <w:lvl w:ilvl="0">
      <w:start w:val="1"/>
      <w:numFmt w:val="upperLetter"/>
      <w:pStyle w:val="AppendixHeading1"/>
      <w:lvlText w:val="Appendix %1"/>
      <w:lvlJc w:val="left"/>
      <w:pPr>
        <w:ind w:left="1985" w:hanging="1985"/>
      </w:pPr>
      <w:rPr>
        <w:rFonts w:asciiTheme="majorHAnsi" w:hAnsiTheme="majorHAnsi" w:hint="default"/>
        <w:b w:val="0"/>
        <w:i w:val="0"/>
        <w:color w:val="1C4483" w:themeColor="accent1"/>
        <w:sz w:val="32"/>
        <w:szCs w:val="36"/>
      </w:rPr>
    </w:lvl>
    <w:lvl w:ilvl="1">
      <w:start w:val="1"/>
      <w:numFmt w:val="decimal"/>
      <w:pStyle w:val="AppendixHeading2"/>
      <w:lvlText w:val="%1.%2"/>
      <w:lvlJc w:val="left"/>
      <w:pPr>
        <w:ind w:left="1134" w:hanging="1134"/>
      </w:pPr>
      <w:rPr>
        <w:rFonts w:hint="default"/>
        <w:b w:val="0"/>
        <w:i w:val="0"/>
        <w:color w:val="1C4483" w:themeColor="accent1"/>
        <w:sz w:val="28"/>
        <w:szCs w:val="32"/>
      </w:rPr>
    </w:lvl>
    <w:lvl w:ilvl="2">
      <w:start w:val="1"/>
      <w:numFmt w:val="decimal"/>
      <w:pStyle w:val="AppendixHeading3"/>
      <w:lvlText w:val="%1.%2.%3"/>
      <w:lvlJc w:val="left"/>
      <w:pPr>
        <w:ind w:left="1134" w:hanging="1134"/>
      </w:pPr>
      <w:rPr>
        <w:rFonts w:hint="default"/>
        <w:b w:val="0"/>
        <w:i w:val="0"/>
        <w:color w:val="00A2E2" w:themeColor="accent2"/>
        <w:sz w:val="26"/>
        <w:szCs w:val="28"/>
      </w:rPr>
    </w:lvl>
    <w:lvl w:ilvl="3">
      <w:start w:val="1"/>
      <w:numFmt w:val="none"/>
      <w:suff w:val="nothing"/>
      <w:lvlText w:val=""/>
      <w:lvlJc w:val="left"/>
      <w:pPr>
        <w:ind w:left="0" w:firstLine="0"/>
      </w:pPr>
      <w:rPr>
        <w:rFonts w:hint="default"/>
        <w:color w:val="25282A" w:themeColor="text2"/>
      </w:rPr>
    </w:lvl>
    <w:lvl w:ilvl="4">
      <w:start w:val="1"/>
      <w:numFmt w:val="none"/>
      <w:suff w:val="nothing"/>
      <w:lvlText w:val=""/>
      <w:lvlJc w:val="left"/>
      <w:pPr>
        <w:ind w:left="0" w:firstLine="0"/>
      </w:pPr>
      <w:rPr>
        <w:rFonts w:hint="default"/>
        <w:color w:val="25282A" w:themeColor="text2"/>
      </w:rPr>
    </w:lvl>
    <w:lvl w:ilvl="5">
      <w:start w:val="1"/>
      <w:numFmt w:val="none"/>
      <w:suff w:val="nothing"/>
      <w:lvlText w:val=""/>
      <w:lvlJc w:val="left"/>
      <w:pPr>
        <w:ind w:left="0" w:firstLine="0"/>
      </w:pPr>
      <w:rPr>
        <w:rFonts w:hint="default"/>
        <w:color w:val="25282A" w:themeColor="text2"/>
      </w:rPr>
    </w:lvl>
    <w:lvl w:ilvl="6">
      <w:start w:val="1"/>
      <w:numFmt w:val="none"/>
      <w:suff w:val="nothing"/>
      <w:lvlText w:val=""/>
      <w:lvlJc w:val="left"/>
      <w:pPr>
        <w:ind w:left="0" w:firstLine="0"/>
      </w:pPr>
      <w:rPr>
        <w:rFonts w:hint="default"/>
        <w:b w:val="0"/>
        <w:i w:val="0"/>
        <w:color w:val="1C4483" w:themeColor="accent1"/>
        <w:sz w:val="22"/>
      </w:rPr>
    </w:lvl>
    <w:lvl w:ilvl="7">
      <w:start w:val="1"/>
      <w:numFmt w:val="none"/>
      <w:suff w:val="nothing"/>
      <w:lvlText w:val=""/>
      <w:lvlJc w:val="left"/>
      <w:pPr>
        <w:ind w:left="0" w:firstLine="0"/>
      </w:pPr>
      <w:rPr>
        <w:rFonts w:hint="default"/>
        <w:b w:val="0"/>
        <w:i w:val="0"/>
        <w:color w:val="1C4483" w:themeColor="accent1"/>
        <w:sz w:val="22"/>
      </w:rPr>
    </w:lvl>
    <w:lvl w:ilvl="8">
      <w:start w:val="1"/>
      <w:numFmt w:val="none"/>
      <w:suff w:val="nothing"/>
      <w:lvlText w:val=""/>
      <w:lvlJc w:val="left"/>
      <w:pPr>
        <w:ind w:left="0" w:firstLine="0"/>
      </w:pPr>
      <w:rPr>
        <w:rFonts w:hint="default"/>
        <w:b w:val="0"/>
        <w:i w:val="0"/>
        <w:color w:val="1C4483" w:themeColor="accent1"/>
        <w:sz w:val="22"/>
      </w:rPr>
    </w:lvl>
  </w:abstractNum>
  <w:abstractNum w:abstractNumId="23" w15:restartNumberingAfterBreak="0">
    <w:nsid w:val="694B3042"/>
    <w:multiLevelType w:val="multilevel"/>
    <w:tmpl w:val="5F92E1F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4"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1C4483" w:themeColor="accent1"/>
        <w:sz w:val="22"/>
      </w:rPr>
    </w:lvl>
    <w:lvl w:ilvl="1">
      <w:start w:val="1"/>
      <w:numFmt w:val="bullet"/>
      <w:pStyle w:val="BodyBullet2"/>
      <w:lvlText w:val="–"/>
      <w:lvlJc w:val="left"/>
      <w:pPr>
        <w:ind w:left="680" w:hanging="340"/>
      </w:pPr>
      <w:rPr>
        <w:rFonts w:hint="default"/>
        <w:b w:val="0"/>
        <w:i w:val="0"/>
        <w:color w:val="1C4483" w:themeColor="accent1"/>
        <w:sz w:val="22"/>
      </w:rPr>
    </w:lvl>
    <w:lvl w:ilvl="2">
      <w:start w:val="1"/>
      <w:numFmt w:val="bullet"/>
      <w:pStyle w:val="BodyBullet3"/>
      <w:lvlText w:val="-"/>
      <w:lvlJc w:val="left"/>
      <w:pPr>
        <w:ind w:left="1020" w:hanging="340"/>
      </w:pPr>
      <w:rPr>
        <w:rFonts w:hint="default"/>
        <w:b w:val="0"/>
        <w:i w:val="0"/>
        <w:color w:val="1C4483" w:themeColor="accen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1C4483"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5" w15:restartNumberingAfterBreak="0">
    <w:nsid w:val="70733DBF"/>
    <w:multiLevelType w:val="multilevel"/>
    <w:tmpl w:val="A56EE750"/>
    <w:lvl w:ilvl="0">
      <w:start w:val="5"/>
      <w:numFmt w:val="decimal"/>
      <w:pStyle w:val="Heading1"/>
      <w:lvlText w:val="%1"/>
      <w:lvlJc w:val="left"/>
      <w:pPr>
        <w:tabs>
          <w:tab w:val="num" w:pos="284"/>
        </w:tabs>
        <w:ind w:left="1134" w:hanging="1134"/>
      </w:pPr>
      <w:rPr>
        <w:rFonts w:asciiTheme="majorHAnsi" w:hAnsiTheme="majorHAnsi" w:hint="default"/>
        <w:color w:val="auto"/>
      </w:rPr>
    </w:lvl>
    <w:lvl w:ilvl="1">
      <w:start w:val="1"/>
      <w:numFmt w:val="decimal"/>
      <w:pStyle w:val="Heading2"/>
      <w:lvlText w:val="%1.%2"/>
      <w:lvlJc w:val="left"/>
      <w:pPr>
        <w:tabs>
          <w:tab w:val="num" w:pos="1134"/>
        </w:tabs>
        <w:ind w:left="1134" w:hanging="1134"/>
      </w:pPr>
      <w:rPr>
        <w:rFonts w:asciiTheme="majorHAnsi" w:hAnsiTheme="majorHAnsi" w:hint="default"/>
        <w:color w:val="1C4483" w:themeColor="accent1"/>
      </w:rPr>
    </w:lvl>
    <w:lvl w:ilvl="2">
      <w:start w:val="1"/>
      <w:numFmt w:val="decimal"/>
      <w:pStyle w:val="Heading3"/>
      <w:lvlText w:val="%1.%2.%3"/>
      <w:lvlJc w:val="left"/>
      <w:pPr>
        <w:tabs>
          <w:tab w:val="num" w:pos="1701"/>
        </w:tabs>
        <w:ind w:left="1701" w:hanging="1701"/>
      </w:pPr>
      <w:rPr>
        <w:rFonts w:asciiTheme="majorHAnsi" w:hAnsiTheme="majorHAnsi" w:hint="default"/>
        <w:color w:val="1C4483" w:themeColor="accent1"/>
      </w:rPr>
    </w:lvl>
    <w:lvl w:ilvl="3">
      <w:start w:val="1"/>
      <w:numFmt w:val="none"/>
      <w:lvlRestart w:val="0"/>
      <w:pStyle w:val="Heading4"/>
      <w:suff w:val="nothing"/>
      <w:lvlText w:val=""/>
      <w:lvlJc w:val="left"/>
      <w:pPr>
        <w:ind w:left="0" w:firstLine="0"/>
      </w:pPr>
      <w:rPr>
        <w:rFonts w:asciiTheme="majorHAnsi" w:hAnsiTheme="majorHAnsi" w:hint="default"/>
        <w:color w:val="00A2E2" w:themeColor="accent2"/>
      </w:rPr>
    </w:lvl>
    <w:lvl w:ilvl="4">
      <w:start w:val="1"/>
      <w:numFmt w:val="none"/>
      <w:pStyle w:val="Heading5"/>
      <w:suff w:val="nothing"/>
      <w:lvlText w:val=""/>
      <w:lvlJc w:val="left"/>
      <w:pPr>
        <w:ind w:left="0" w:firstLine="0"/>
      </w:pPr>
      <w:rPr>
        <w:rFonts w:asciiTheme="majorHAnsi" w:hAnsiTheme="majorHAnsi" w:hint="default"/>
        <w:color w:val="25282A" w:themeColor="text2"/>
      </w:rPr>
    </w:lvl>
    <w:lvl w:ilvl="5">
      <w:start w:val="1"/>
      <w:numFmt w:val="none"/>
      <w:pStyle w:val="Heading6"/>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1"/>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abstractNum w:abstractNumId="26" w15:restartNumberingAfterBreak="0">
    <w:nsid w:val="72B84207"/>
    <w:multiLevelType w:val="multilevel"/>
    <w:tmpl w:val="8F20669A"/>
    <w:lvl w:ilvl="0">
      <w:start w:val="1"/>
      <w:numFmt w:val="bullet"/>
      <w:lvlText w:val=""/>
      <w:lvlJc w:val="left"/>
      <w:pPr>
        <w:ind w:left="340" w:hanging="340"/>
      </w:pPr>
      <w:rPr>
        <w:rFonts w:ascii="Symbol" w:hAnsi="Symbol" w:hint="default"/>
        <w:b w:val="0"/>
        <w:i w:val="0"/>
        <w:color w:val="000000" w:themeColor="text1"/>
        <w:sz w:val="18"/>
      </w:rPr>
    </w:lvl>
    <w:lvl w:ilvl="1">
      <w:start w:val="1"/>
      <w:numFmt w:val="bullet"/>
      <w:lvlText w:val="–"/>
      <w:lvlJc w:val="left"/>
      <w:pPr>
        <w:ind w:left="680" w:hanging="340"/>
      </w:pPr>
      <w:rPr>
        <w:rFonts w:hint="default"/>
        <w:b w:val="0"/>
        <w:i w:val="0"/>
        <w:color w:val="000000" w:themeColor="text1"/>
        <w:sz w:val="18"/>
      </w:rPr>
    </w:lvl>
    <w:lvl w:ilvl="2">
      <w:start w:val="1"/>
      <w:numFmt w:val="bullet"/>
      <w:lvlText w:val="-"/>
      <w:lvlJc w:val="left"/>
      <w:pPr>
        <w:ind w:left="1020" w:hanging="340"/>
      </w:pPr>
      <w:rPr>
        <w:rFonts w:hint="default"/>
        <w:b w:val="0"/>
        <w:i w:val="0"/>
        <w:color w:val="000000" w:themeColor="tex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27" w15:restartNumberingAfterBreak="0">
    <w:nsid w:val="75CF5E10"/>
    <w:multiLevelType w:val="multilevel"/>
    <w:tmpl w:val="5D2E25EA"/>
    <w:lvl w:ilvl="0">
      <w:start w:val="5"/>
      <w:numFmt w:val="decimal"/>
      <w:lvlText w:val="%1"/>
      <w:lvlJc w:val="right"/>
      <w:pPr>
        <w:tabs>
          <w:tab w:val="num" w:pos="284"/>
        </w:tabs>
        <w:ind w:left="284" w:firstLine="0"/>
      </w:pPr>
      <w:rPr>
        <w:rFonts w:asciiTheme="majorHAnsi" w:hAnsiTheme="majorHAnsi" w:hint="default"/>
        <w:color w:val="FFFFFF" w:themeColor="background1"/>
      </w:rPr>
    </w:lvl>
    <w:lvl w:ilvl="1">
      <w:start w:val="1"/>
      <w:numFmt w:val="decimal"/>
      <w:lvlText w:val="%1.%2"/>
      <w:lvlJc w:val="left"/>
      <w:pPr>
        <w:tabs>
          <w:tab w:val="num" w:pos="1134"/>
        </w:tabs>
        <w:ind w:left="1134" w:hanging="1134"/>
      </w:pPr>
      <w:rPr>
        <w:rFonts w:asciiTheme="majorHAnsi" w:hAnsiTheme="majorHAnsi" w:hint="default"/>
        <w:color w:val="1C4483" w:themeColor="accent1"/>
      </w:rPr>
    </w:lvl>
    <w:lvl w:ilvl="2">
      <w:start w:val="1"/>
      <w:numFmt w:val="decimal"/>
      <w:lvlText w:val="%1.%2.%3"/>
      <w:lvlJc w:val="left"/>
      <w:pPr>
        <w:tabs>
          <w:tab w:val="num" w:pos="1701"/>
        </w:tabs>
        <w:ind w:left="1701" w:hanging="1701"/>
      </w:pPr>
      <w:rPr>
        <w:rFonts w:asciiTheme="majorHAnsi" w:hAnsiTheme="majorHAnsi" w:hint="default"/>
        <w:color w:val="1C4483" w:themeColor="accent1"/>
      </w:rPr>
    </w:lvl>
    <w:lvl w:ilvl="3">
      <w:start w:val="1"/>
      <w:numFmt w:val="none"/>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pStyle w:val="BodyNumbering1"/>
      <w:lvlText w:val="%7"/>
      <w:lvlJc w:val="left"/>
      <w:pPr>
        <w:ind w:left="340" w:hanging="340"/>
      </w:pPr>
      <w:rPr>
        <w:rFonts w:asciiTheme="minorHAnsi" w:hAnsiTheme="minorHAnsi" w:hint="default"/>
        <w:color w:val="25282A" w:themeColor="text2"/>
      </w:rPr>
    </w:lvl>
    <w:lvl w:ilvl="7">
      <w:start w:val="1"/>
      <w:numFmt w:val="lowerLetter"/>
      <w:pStyle w:val="BodyNumbering2"/>
      <w:lvlText w:val="%8"/>
      <w:lvlJc w:val="left"/>
      <w:pPr>
        <w:ind w:left="680" w:hanging="340"/>
      </w:pPr>
      <w:rPr>
        <w:rFonts w:asciiTheme="minorHAnsi" w:hAnsiTheme="minorHAnsi" w:hint="default"/>
        <w:color w:val="25282A" w:themeColor="text2"/>
      </w:rPr>
    </w:lvl>
    <w:lvl w:ilvl="8">
      <w:start w:val="1"/>
      <w:numFmt w:val="lowerRoman"/>
      <w:pStyle w:val="BodyNumbering3"/>
      <w:lvlText w:val="%9"/>
      <w:lvlJc w:val="right"/>
      <w:pPr>
        <w:ind w:left="1021" w:hanging="284"/>
      </w:pPr>
      <w:rPr>
        <w:rFonts w:hint="default"/>
        <w:color w:val="25282A" w:themeColor="text2"/>
      </w:rPr>
    </w:lvl>
  </w:abstractNum>
  <w:abstractNum w:abstractNumId="28"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7"/>
  </w:num>
  <w:num w:numId="3">
    <w:abstractNumId w:val="6"/>
  </w:num>
  <w:num w:numId="4">
    <w:abstractNumId w:val="8"/>
  </w:num>
  <w:num w:numId="5">
    <w:abstractNumId w:val="3"/>
  </w:num>
  <w:num w:numId="6">
    <w:abstractNumId w:val="2"/>
  </w:num>
  <w:num w:numId="7">
    <w:abstractNumId w:val="17"/>
  </w:num>
  <w:num w:numId="8">
    <w:abstractNumId w:val="5"/>
  </w:num>
  <w:num w:numId="9">
    <w:abstractNumId w:val="4"/>
  </w:num>
  <w:num w:numId="10">
    <w:abstractNumId w:val="1"/>
  </w:num>
  <w:num w:numId="11">
    <w:abstractNumId w:val="0"/>
  </w:num>
  <w:num w:numId="12">
    <w:abstractNumId w:val="24"/>
  </w:num>
  <w:num w:numId="13">
    <w:abstractNumId w:val="24"/>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lvlText w:val=""/>
        <w:lvlJc w:val="left"/>
        <w:pPr>
          <w:ind w:left="340" w:hanging="340"/>
        </w:pPr>
        <w:rPr>
          <w:rFonts w:ascii="Symbol" w:hAnsi="Symbol" w:hint="default"/>
          <w:color w:val="auto"/>
        </w:rPr>
      </w:lvl>
    </w:lvlOverride>
    <w:lvlOverride w:ilvl="4">
      <w:lvl w:ilvl="4">
        <w:start w:val="1"/>
        <w:numFmt w:val="bullet"/>
        <w:lvlText w:val=""/>
        <w:lvlJc w:val="left"/>
        <w:pPr>
          <w:ind w:left="680" w:hanging="340"/>
        </w:pPr>
        <w:rPr>
          <w:rFonts w:ascii="Symbol" w:hAnsi="Symbol" w:hint="default"/>
          <w:color w:val="auto"/>
        </w:rPr>
      </w:lvl>
    </w:lvlOverride>
    <w:lvlOverride w:ilvl="5">
      <w:lvl w:ilvl="5">
        <w:start w:val="1"/>
        <w:numFmt w:val="none"/>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4"/>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lvlText w:val=""/>
        <w:lvlJc w:val="left"/>
        <w:pPr>
          <w:ind w:left="340" w:hanging="340"/>
        </w:pPr>
        <w:rPr>
          <w:rFonts w:ascii="Symbol" w:hAnsi="Symbol" w:hint="default"/>
          <w:color w:val="auto"/>
        </w:rPr>
      </w:lvl>
    </w:lvlOverride>
    <w:lvlOverride w:ilvl="4">
      <w:lvl w:ilvl="4">
        <w:start w:val="1"/>
        <w:numFmt w:val="bullet"/>
        <w:lvlText w:val=""/>
        <w:lvlJc w:val="left"/>
        <w:pPr>
          <w:ind w:left="680" w:hanging="340"/>
        </w:pPr>
        <w:rPr>
          <w:rFonts w:ascii="Symbol" w:hAnsi="Symbol" w:hint="default"/>
          <w:color w:val="auto"/>
        </w:rPr>
      </w:lvl>
    </w:lvlOverride>
    <w:lvlOverride w:ilvl="5">
      <w:lvl w:ilvl="5">
        <w:start w:val="1"/>
        <w:numFmt w:val="none"/>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6"/>
  </w:num>
  <w:num w:numId="16">
    <w:abstractNumId w:val="9"/>
  </w:num>
  <w:num w:numId="17">
    <w:abstractNumId w:val="17"/>
  </w:num>
  <w:num w:numId="18">
    <w:abstractNumId w:val="17"/>
  </w:num>
  <w:num w:numId="19">
    <w:abstractNumId w:val="18"/>
  </w:num>
  <w:num w:numId="20">
    <w:abstractNumId w:val="28"/>
  </w:num>
  <w:num w:numId="21">
    <w:abstractNumId w:val="19"/>
  </w:num>
  <w:num w:numId="22">
    <w:abstractNumId w:val="13"/>
  </w:num>
  <w:num w:numId="23">
    <w:abstractNumId w:val="12"/>
  </w:num>
  <w:num w:numId="24">
    <w:abstractNumId w:val="10"/>
  </w:num>
  <w:num w:numId="25">
    <w:abstractNumId w:val="2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7"/>
    <w:lvlOverride w:ilvl="0">
      <w:lvl w:ilvl="0">
        <w:start w:val="1"/>
        <w:numFmt w:val="decimal"/>
        <w:lvlText w:val="%1"/>
        <w:lvlJc w:val="left"/>
        <w:pPr>
          <w:ind w:left="851" w:hanging="851"/>
        </w:pPr>
        <w:rPr>
          <w:rFonts w:hint="default"/>
          <w:color w:val="25282A" w:themeColor="text2"/>
        </w:rPr>
      </w:lvl>
    </w:lvlOverride>
    <w:lvlOverride w:ilvl="1">
      <w:lvl w:ilvl="1">
        <w:start w:val="1"/>
        <w:numFmt w:val="decimal"/>
        <w:lvlRestart w:val="0"/>
        <w:isLgl/>
        <w:lvlText w:val="%1.%2"/>
        <w:lvlJc w:val="left"/>
        <w:pPr>
          <w:ind w:left="851" w:hanging="851"/>
        </w:pPr>
        <w:rPr>
          <w:rFonts w:hint="default"/>
          <w:color w:val="25282A" w:themeColor="text2"/>
        </w:rPr>
      </w:lvl>
    </w:lvlOverride>
    <w:lvlOverride w:ilvl="2">
      <w:lvl w:ilvl="2">
        <w:start w:val="1"/>
        <w:numFmt w:val="decimal"/>
        <w:lvlRestart w:val="0"/>
        <w:isLgl/>
        <w:lvlText w:val="%1.%2.%3"/>
        <w:lvlJc w:val="left"/>
        <w:pPr>
          <w:ind w:left="1021" w:hanging="1021"/>
        </w:pPr>
        <w:rPr>
          <w:rFonts w:hint="default"/>
          <w:color w:val="25282A"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pStyle w:val="BodyNumbering1"/>
        <w:lvlText w:val="%7"/>
        <w:lvlJc w:val="left"/>
        <w:pPr>
          <w:ind w:left="340" w:hanging="340"/>
        </w:pPr>
        <w:rPr>
          <w:rFonts w:hint="default"/>
          <w:color w:val="1C4483" w:themeColor="accent1"/>
        </w:rPr>
      </w:lvl>
    </w:lvlOverride>
    <w:lvlOverride w:ilvl="7">
      <w:lvl w:ilvl="7">
        <w:start w:val="1"/>
        <w:numFmt w:val="lowerLetter"/>
        <w:pStyle w:val="BodyNumbering2"/>
        <w:lvlText w:val="%8"/>
        <w:lvlJc w:val="left"/>
        <w:pPr>
          <w:ind w:left="680" w:hanging="340"/>
        </w:pPr>
        <w:rPr>
          <w:rFonts w:hint="default"/>
          <w:color w:val="1C4483" w:themeColor="accent1"/>
        </w:rPr>
      </w:lvl>
    </w:lvlOverride>
    <w:lvlOverride w:ilvl="8">
      <w:lvl w:ilvl="8">
        <w:start w:val="1"/>
        <w:numFmt w:val="lowerRoman"/>
        <w:pStyle w:val="BodyNumbering3"/>
        <w:lvlText w:val="%9"/>
        <w:lvlJc w:val="left"/>
        <w:pPr>
          <w:ind w:left="1021" w:hanging="341"/>
        </w:pPr>
        <w:rPr>
          <w:rFonts w:hint="default"/>
          <w:color w:val="1C4483" w:themeColor="accent1"/>
        </w:rPr>
      </w:lvl>
    </w:lvlOverride>
  </w:num>
  <w:num w:numId="29">
    <w:abstractNumId w:val="21"/>
  </w:num>
  <w:num w:numId="30">
    <w:abstractNumId w:val="26"/>
  </w:num>
  <w:num w:numId="31">
    <w:abstractNumId w:val="20"/>
  </w:num>
  <w:num w:numId="32">
    <w:abstractNumId w:val="27"/>
    <w:lvlOverride w:ilvl="0">
      <w:lvl w:ilvl="0">
        <w:start w:val="1"/>
        <w:numFmt w:val="decimal"/>
        <w:lvlText w:val="%1"/>
        <w:lvlJc w:val="right"/>
        <w:pPr>
          <w:tabs>
            <w:tab w:val="num" w:pos="284"/>
          </w:tabs>
          <w:ind w:left="0" w:firstLine="284"/>
        </w:pPr>
        <w:rPr>
          <w:rFonts w:asciiTheme="majorHAnsi" w:hAnsiTheme="majorHAnsi" w:hint="default"/>
          <w:color w:val="1D4582"/>
        </w:rPr>
      </w:lvl>
    </w:lvlOverride>
    <w:lvlOverride w:ilvl="1">
      <w:lvl w:ilvl="1">
        <w:start w:val="1"/>
        <w:numFmt w:val="decimal"/>
        <w:lvlText w:val="%1.%2"/>
        <w:lvlJc w:val="right"/>
        <w:pPr>
          <w:tabs>
            <w:tab w:val="num" w:pos="284"/>
          </w:tabs>
          <w:ind w:left="0" w:firstLine="284"/>
        </w:pPr>
        <w:rPr>
          <w:rFonts w:asciiTheme="majorHAnsi" w:hAnsiTheme="majorHAnsi" w:hint="default"/>
          <w:color w:val="25282A" w:themeColor="text2"/>
        </w:rPr>
      </w:lvl>
    </w:lvlOverride>
    <w:lvlOverride w:ilvl="2">
      <w:lvl w:ilvl="2">
        <w:start w:val="1"/>
        <w:numFmt w:val="decimal"/>
        <w:lvlText w:val="%1.%2.%3"/>
        <w:lvlJc w:val="right"/>
        <w:pPr>
          <w:ind w:left="0" w:firstLine="284"/>
        </w:pPr>
        <w:rPr>
          <w:rFonts w:asciiTheme="majorHAnsi" w:hAnsiTheme="majorHAnsi" w:hint="default"/>
          <w:color w:val="25282A" w:themeColor="text2"/>
        </w:rPr>
      </w:lvl>
    </w:lvlOverride>
    <w:lvlOverride w:ilvl="3">
      <w:lvl w:ilvl="3">
        <w:start w:val="1"/>
        <w:numFmt w:val="decimal"/>
        <w:lvlText w:val="%1.%2.%3.%4"/>
        <w:lvlJc w:val="right"/>
        <w:pPr>
          <w:ind w:left="0" w:firstLine="0"/>
        </w:pPr>
        <w:rPr>
          <w:rFonts w:asciiTheme="majorHAnsi" w:hAnsiTheme="majorHAnsi" w:hint="default"/>
          <w:color w:val="25282A" w:themeColor="text2"/>
        </w:rPr>
      </w:lvl>
    </w:lvlOverride>
    <w:lvlOverride w:ilvl="4">
      <w:lvl w:ilvl="4">
        <w:start w:val="1"/>
        <w:numFmt w:val="none"/>
        <w:suff w:val="nothing"/>
        <w:lvlText w:val=""/>
        <w:lvlJc w:val="left"/>
        <w:pPr>
          <w:ind w:left="0" w:firstLine="0"/>
        </w:pPr>
        <w:rPr>
          <w:rFonts w:asciiTheme="majorHAnsi" w:hAnsiTheme="majorHAnsi" w:hint="default"/>
          <w:color w:val="25282A" w:themeColor="text2"/>
        </w:rPr>
      </w:lvl>
    </w:lvlOverride>
    <w:lvlOverride w:ilvl="5">
      <w:lvl w:ilvl="5">
        <w:start w:val="1"/>
        <w:numFmt w:val="none"/>
        <w:lvlText w:val=""/>
        <w:lvlJc w:val="left"/>
        <w:pPr>
          <w:ind w:left="0" w:firstLine="0"/>
        </w:pPr>
        <w:rPr>
          <w:rFonts w:asciiTheme="majorHAnsi" w:hAnsiTheme="majorHAnsi" w:hint="default"/>
          <w:color w:val="25282A" w:themeColor="text2"/>
        </w:rPr>
      </w:lvl>
    </w:lvlOverride>
    <w:lvlOverride w:ilvl="6">
      <w:lvl w:ilvl="6">
        <w:start w:val="1"/>
        <w:numFmt w:val="decimal"/>
        <w:pStyle w:val="BodyNumbering1"/>
        <w:lvlText w:val="%7"/>
        <w:lvlJc w:val="left"/>
        <w:pPr>
          <w:ind w:left="340" w:hanging="340"/>
        </w:pPr>
        <w:rPr>
          <w:rFonts w:asciiTheme="minorHAnsi" w:hAnsiTheme="minorHAnsi" w:hint="default"/>
          <w:color w:val="25282A" w:themeColor="text2"/>
        </w:rPr>
      </w:lvl>
    </w:lvlOverride>
    <w:lvlOverride w:ilvl="7">
      <w:lvl w:ilvl="7">
        <w:start w:val="1"/>
        <w:numFmt w:val="lowerLetter"/>
        <w:pStyle w:val="BodyNumbering2"/>
        <w:lvlText w:val="%8"/>
        <w:lvlJc w:val="left"/>
        <w:pPr>
          <w:ind w:left="680" w:hanging="340"/>
        </w:pPr>
        <w:rPr>
          <w:rFonts w:asciiTheme="minorHAnsi" w:hAnsiTheme="minorHAnsi" w:hint="default"/>
          <w:color w:val="25282A" w:themeColor="text2"/>
        </w:rPr>
      </w:lvl>
    </w:lvlOverride>
    <w:lvlOverride w:ilvl="8">
      <w:lvl w:ilvl="8">
        <w:start w:val="1"/>
        <w:numFmt w:val="lowerRoman"/>
        <w:pStyle w:val="BodyNumbering3"/>
        <w:lvlText w:val="%9"/>
        <w:lvlJc w:val="right"/>
        <w:pPr>
          <w:ind w:left="1021" w:hanging="284"/>
        </w:pPr>
        <w:rPr>
          <w:rFonts w:hint="default"/>
          <w:color w:val="25282A" w:themeColor="text2"/>
        </w:rPr>
      </w:lvl>
    </w:lvlOverride>
  </w:num>
  <w:num w:numId="33">
    <w:abstractNumId w:val="22"/>
  </w:num>
  <w:num w:numId="34">
    <w:abstractNumId w:val="22"/>
  </w:num>
  <w:num w:numId="35">
    <w:abstractNumId w:val="22"/>
  </w:num>
  <w:num w:numId="36">
    <w:abstractNumId w:val="27"/>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20"/>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SortMethod w:val="0000"/>
  <w:documentProtection w:formatting="1" w:enforcement="1"/>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9A"/>
    <w:rsid w:val="0000066F"/>
    <w:rsid w:val="00002B5C"/>
    <w:rsid w:val="00003622"/>
    <w:rsid w:val="00013139"/>
    <w:rsid w:val="00013C24"/>
    <w:rsid w:val="00014A01"/>
    <w:rsid w:val="00016F19"/>
    <w:rsid w:val="00017047"/>
    <w:rsid w:val="000207CF"/>
    <w:rsid w:val="000208B9"/>
    <w:rsid w:val="00021CEC"/>
    <w:rsid w:val="00023787"/>
    <w:rsid w:val="000258C9"/>
    <w:rsid w:val="00025963"/>
    <w:rsid w:val="000267FC"/>
    <w:rsid w:val="00027A10"/>
    <w:rsid w:val="00027AFC"/>
    <w:rsid w:val="00030198"/>
    <w:rsid w:val="000303C6"/>
    <w:rsid w:val="0003047D"/>
    <w:rsid w:val="00035088"/>
    <w:rsid w:val="00036C14"/>
    <w:rsid w:val="00037D07"/>
    <w:rsid w:val="00040779"/>
    <w:rsid w:val="0004094D"/>
    <w:rsid w:val="00040E0C"/>
    <w:rsid w:val="00041D9C"/>
    <w:rsid w:val="00042105"/>
    <w:rsid w:val="00043EF6"/>
    <w:rsid w:val="00044427"/>
    <w:rsid w:val="00044695"/>
    <w:rsid w:val="00045C28"/>
    <w:rsid w:val="00046089"/>
    <w:rsid w:val="00046108"/>
    <w:rsid w:val="0004776D"/>
    <w:rsid w:val="00047F4F"/>
    <w:rsid w:val="00050AF0"/>
    <w:rsid w:val="00050D78"/>
    <w:rsid w:val="00053ED4"/>
    <w:rsid w:val="0005514C"/>
    <w:rsid w:val="00060706"/>
    <w:rsid w:val="0006160C"/>
    <w:rsid w:val="000639E5"/>
    <w:rsid w:val="00063EED"/>
    <w:rsid w:val="00064639"/>
    <w:rsid w:val="000653C7"/>
    <w:rsid w:val="00065452"/>
    <w:rsid w:val="00065CBE"/>
    <w:rsid w:val="00067B05"/>
    <w:rsid w:val="00070202"/>
    <w:rsid w:val="00070A2B"/>
    <w:rsid w:val="00075157"/>
    <w:rsid w:val="0007561D"/>
    <w:rsid w:val="0007669C"/>
    <w:rsid w:val="00080123"/>
    <w:rsid w:val="000801AC"/>
    <w:rsid w:val="00081694"/>
    <w:rsid w:val="00081ED6"/>
    <w:rsid w:val="00083077"/>
    <w:rsid w:val="00086335"/>
    <w:rsid w:val="00087408"/>
    <w:rsid w:val="00090AA3"/>
    <w:rsid w:val="00092C0D"/>
    <w:rsid w:val="00093082"/>
    <w:rsid w:val="00093262"/>
    <w:rsid w:val="000934F7"/>
    <w:rsid w:val="00095E7F"/>
    <w:rsid w:val="000A247E"/>
    <w:rsid w:val="000A2DFD"/>
    <w:rsid w:val="000A4DFB"/>
    <w:rsid w:val="000A554C"/>
    <w:rsid w:val="000A5911"/>
    <w:rsid w:val="000A5951"/>
    <w:rsid w:val="000A62C0"/>
    <w:rsid w:val="000A661C"/>
    <w:rsid w:val="000B585C"/>
    <w:rsid w:val="000B5B9F"/>
    <w:rsid w:val="000B5D48"/>
    <w:rsid w:val="000B7555"/>
    <w:rsid w:val="000C0031"/>
    <w:rsid w:val="000C2020"/>
    <w:rsid w:val="000C2DBD"/>
    <w:rsid w:val="000C3E7B"/>
    <w:rsid w:val="000C4409"/>
    <w:rsid w:val="000C59DE"/>
    <w:rsid w:val="000C5AB3"/>
    <w:rsid w:val="000C6688"/>
    <w:rsid w:val="000C739C"/>
    <w:rsid w:val="000C7A90"/>
    <w:rsid w:val="000D16A5"/>
    <w:rsid w:val="000D255B"/>
    <w:rsid w:val="000D3A6C"/>
    <w:rsid w:val="000D4CE8"/>
    <w:rsid w:val="000D7A29"/>
    <w:rsid w:val="000D7AFD"/>
    <w:rsid w:val="000D7CAF"/>
    <w:rsid w:val="000E0829"/>
    <w:rsid w:val="000E0B71"/>
    <w:rsid w:val="000E0D55"/>
    <w:rsid w:val="000E0DC4"/>
    <w:rsid w:val="000E1DAB"/>
    <w:rsid w:val="000E1F0E"/>
    <w:rsid w:val="000E2483"/>
    <w:rsid w:val="000E250B"/>
    <w:rsid w:val="000E5D64"/>
    <w:rsid w:val="000E6AD4"/>
    <w:rsid w:val="000F060A"/>
    <w:rsid w:val="000F0A26"/>
    <w:rsid w:val="000F0CDA"/>
    <w:rsid w:val="000F15DB"/>
    <w:rsid w:val="000F2147"/>
    <w:rsid w:val="000F2552"/>
    <w:rsid w:val="000F2617"/>
    <w:rsid w:val="000F2A6C"/>
    <w:rsid w:val="000F3515"/>
    <w:rsid w:val="000F397E"/>
    <w:rsid w:val="000F42C0"/>
    <w:rsid w:val="000F43BE"/>
    <w:rsid w:val="000F5477"/>
    <w:rsid w:val="000F6123"/>
    <w:rsid w:val="000F65AF"/>
    <w:rsid w:val="001028DC"/>
    <w:rsid w:val="00103580"/>
    <w:rsid w:val="00103A4A"/>
    <w:rsid w:val="001078E8"/>
    <w:rsid w:val="00111EAA"/>
    <w:rsid w:val="001130DB"/>
    <w:rsid w:val="00114DD9"/>
    <w:rsid w:val="001152EA"/>
    <w:rsid w:val="0011570F"/>
    <w:rsid w:val="00116DDF"/>
    <w:rsid w:val="00117B0A"/>
    <w:rsid w:val="00120813"/>
    <w:rsid w:val="00120DF1"/>
    <w:rsid w:val="00121339"/>
    <w:rsid w:val="00122664"/>
    <w:rsid w:val="00122FCC"/>
    <w:rsid w:val="00123162"/>
    <w:rsid w:val="001234E9"/>
    <w:rsid w:val="00123884"/>
    <w:rsid w:val="001240B9"/>
    <w:rsid w:val="0012469F"/>
    <w:rsid w:val="00124A1C"/>
    <w:rsid w:val="0012791D"/>
    <w:rsid w:val="001320D7"/>
    <w:rsid w:val="0013218F"/>
    <w:rsid w:val="001331C9"/>
    <w:rsid w:val="00133C5C"/>
    <w:rsid w:val="00141296"/>
    <w:rsid w:val="00142291"/>
    <w:rsid w:val="001432E2"/>
    <w:rsid w:val="00144BBA"/>
    <w:rsid w:val="0014525F"/>
    <w:rsid w:val="00145593"/>
    <w:rsid w:val="001472CB"/>
    <w:rsid w:val="00147E56"/>
    <w:rsid w:val="00150F46"/>
    <w:rsid w:val="00153351"/>
    <w:rsid w:val="00153CF5"/>
    <w:rsid w:val="00154C6C"/>
    <w:rsid w:val="00154D7C"/>
    <w:rsid w:val="001560CA"/>
    <w:rsid w:val="001574D4"/>
    <w:rsid w:val="00157ECB"/>
    <w:rsid w:val="001618C4"/>
    <w:rsid w:val="0016224B"/>
    <w:rsid w:val="00163CED"/>
    <w:rsid w:val="0016441B"/>
    <w:rsid w:val="001668AB"/>
    <w:rsid w:val="00172168"/>
    <w:rsid w:val="00172886"/>
    <w:rsid w:val="00173811"/>
    <w:rsid w:val="00174337"/>
    <w:rsid w:val="00174C76"/>
    <w:rsid w:val="00174E12"/>
    <w:rsid w:val="00175B24"/>
    <w:rsid w:val="001775A3"/>
    <w:rsid w:val="001809E5"/>
    <w:rsid w:val="00181925"/>
    <w:rsid w:val="00181A7E"/>
    <w:rsid w:val="001839A1"/>
    <w:rsid w:val="001850AD"/>
    <w:rsid w:val="0018523B"/>
    <w:rsid w:val="00185842"/>
    <w:rsid w:val="00186FB1"/>
    <w:rsid w:val="00192972"/>
    <w:rsid w:val="00192F51"/>
    <w:rsid w:val="001943DB"/>
    <w:rsid w:val="0019472B"/>
    <w:rsid w:val="0019593B"/>
    <w:rsid w:val="00196EC8"/>
    <w:rsid w:val="001976D2"/>
    <w:rsid w:val="00197AE4"/>
    <w:rsid w:val="00197EFB"/>
    <w:rsid w:val="001A181E"/>
    <w:rsid w:val="001A284A"/>
    <w:rsid w:val="001A3181"/>
    <w:rsid w:val="001A436D"/>
    <w:rsid w:val="001A4CC3"/>
    <w:rsid w:val="001A6197"/>
    <w:rsid w:val="001A75E1"/>
    <w:rsid w:val="001A76AF"/>
    <w:rsid w:val="001B30F7"/>
    <w:rsid w:val="001B4565"/>
    <w:rsid w:val="001B4DF5"/>
    <w:rsid w:val="001B515C"/>
    <w:rsid w:val="001B7703"/>
    <w:rsid w:val="001B78C4"/>
    <w:rsid w:val="001C1A26"/>
    <w:rsid w:val="001C1E5B"/>
    <w:rsid w:val="001C31E6"/>
    <w:rsid w:val="001C401E"/>
    <w:rsid w:val="001C45FF"/>
    <w:rsid w:val="001C462B"/>
    <w:rsid w:val="001C5EC2"/>
    <w:rsid w:val="001C6171"/>
    <w:rsid w:val="001C69DF"/>
    <w:rsid w:val="001D15FC"/>
    <w:rsid w:val="001D25DA"/>
    <w:rsid w:val="001D3B17"/>
    <w:rsid w:val="001D5299"/>
    <w:rsid w:val="001D5F37"/>
    <w:rsid w:val="001D6464"/>
    <w:rsid w:val="001D6F2D"/>
    <w:rsid w:val="001D7516"/>
    <w:rsid w:val="001E013A"/>
    <w:rsid w:val="001E11E4"/>
    <w:rsid w:val="001E128F"/>
    <w:rsid w:val="001E2899"/>
    <w:rsid w:val="001E2ADE"/>
    <w:rsid w:val="001E2C59"/>
    <w:rsid w:val="001E4DEF"/>
    <w:rsid w:val="001E7FC7"/>
    <w:rsid w:val="001F1C5C"/>
    <w:rsid w:val="001F38E8"/>
    <w:rsid w:val="001F3F88"/>
    <w:rsid w:val="001F41F8"/>
    <w:rsid w:val="001F4DC3"/>
    <w:rsid w:val="001F571B"/>
    <w:rsid w:val="001F64AB"/>
    <w:rsid w:val="001F6664"/>
    <w:rsid w:val="001F6DF9"/>
    <w:rsid w:val="001F76EB"/>
    <w:rsid w:val="00200FBD"/>
    <w:rsid w:val="002021BF"/>
    <w:rsid w:val="00204A6F"/>
    <w:rsid w:val="00204EE2"/>
    <w:rsid w:val="00207206"/>
    <w:rsid w:val="0020772C"/>
    <w:rsid w:val="00207FB7"/>
    <w:rsid w:val="00210A21"/>
    <w:rsid w:val="00212A72"/>
    <w:rsid w:val="00212BA8"/>
    <w:rsid w:val="00213233"/>
    <w:rsid w:val="00213EDF"/>
    <w:rsid w:val="002149C9"/>
    <w:rsid w:val="00217987"/>
    <w:rsid w:val="00220CDD"/>
    <w:rsid w:val="00222DEB"/>
    <w:rsid w:val="00223EC1"/>
    <w:rsid w:val="00224E65"/>
    <w:rsid w:val="00225140"/>
    <w:rsid w:val="0023045C"/>
    <w:rsid w:val="00230CF8"/>
    <w:rsid w:val="00231721"/>
    <w:rsid w:val="002331E5"/>
    <w:rsid w:val="002340DF"/>
    <w:rsid w:val="00236342"/>
    <w:rsid w:val="00236D3D"/>
    <w:rsid w:val="00236DE0"/>
    <w:rsid w:val="00237A77"/>
    <w:rsid w:val="0024199C"/>
    <w:rsid w:val="0024419D"/>
    <w:rsid w:val="0024669A"/>
    <w:rsid w:val="00247065"/>
    <w:rsid w:val="002500AE"/>
    <w:rsid w:val="0025023D"/>
    <w:rsid w:val="00253B4A"/>
    <w:rsid w:val="00253D47"/>
    <w:rsid w:val="0025542C"/>
    <w:rsid w:val="002561AD"/>
    <w:rsid w:val="0025787E"/>
    <w:rsid w:val="002609FD"/>
    <w:rsid w:val="00261F88"/>
    <w:rsid w:val="0026337C"/>
    <w:rsid w:val="00265073"/>
    <w:rsid w:val="00267445"/>
    <w:rsid w:val="0026757E"/>
    <w:rsid w:val="0027245C"/>
    <w:rsid w:val="00276666"/>
    <w:rsid w:val="00277ABE"/>
    <w:rsid w:val="00277AF5"/>
    <w:rsid w:val="002811F9"/>
    <w:rsid w:val="00281BBF"/>
    <w:rsid w:val="00282B57"/>
    <w:rsid w:val="00283B87"/>
    <w:rsid w:val="002856CE"/>
    <w:rsid w:val="002867A7"/>
    <w:rsid w:val="002867E2"/>
    <w:rsid w:val="00290210"/>
    <w:rsid w:val="002906BE"/>
    <w:rsid w:val="00292D2A"/>
    <w:rsid w:val="00292FEF"/>
    <w:rsid w:val="0029345C"/>
    <w:rsid w:val="00294420"/>
    <w:rsid w:val="00294914"/>
    <w:rsid w:val="00295779"/>
    <w:rsid w:val="0029614E"/>
    <w:rsid w:val="002A007D"/>
    <w:rsid w:val="002A05B1"/>
    <w:rsid w:val="002A4AF1"/>
    <w:rsid w:val="002A5C1A"/>
    <w:rsid w:val="002A6F1A"/>
    <w:rsid w:val="002B282F"/>
    <w:rsid w:val="002B2A21"/>
    <w:rsid w:val="002B488F"/>
    <w:rsid w:val="002B4B77"/>
    <w:rsid w:val="002B4CAE"/>
    <w:rsid w:val="002B65E9"/>
    <w:rsid w:val="002B6EF0"/>
    <w:rsid w:val="002B78E6"/>
    <w:rsid w:val="002C0F0C"/>
    <w:rsid w:val="002C1713"/>
    <w:rsid w:val="002C2990"/>
    <w:rsid w:val="002C555F"/>
    <w:rsid w:val="002C57BC"/>
    <w:rsid w:val="002D1CB1"/>
    <w:rsid w:val="002D2130"/>
    <w:rsid w:val="002D22B9"/>
    <w:rsid w:val="002D310F"/>
    <w:rsid w:val="002D3A61"/>
    <w:rsid w:val="002D6BA2"/>
    <w:rsid w:val="002E0392"/>
    <w:rsid w:val="002E0987"/>
    <w:rsid w:val="002E2BC7"/>
    <w:rsid w:val="002E3267"/>
    <w:rsid w:val="002E3E20"/>
    <w:rsid w:val="002E4C32"/>
    <w:rsid w:val="002E6F57"/>
    <w:rsid w:val="002F098F"/>
    <w:rsid w:val="002F1151"/>
    <w:rsid w:val="002F12AE"/>
    <w:rsid w:val="002F160A"/>
    <w:rsid w:val="002F1FFE"/>
    <w:rsid w:val="002F2808"/>
    <w:rsid w:val="002F30E8"/>
    <w:rsid w:val="002F4504"/>
    <w:rsid w:val="002F4826"/>
    <w:rsid w:val="00300E6D"/>
    <w:rsid w:val="00302352"/>
    <w:rsid w:val="00302B94"/>
    <w:rsid w:val="00302F49"/>
    <w:rsid w:val="003041BC"/>
    <w:rsid w:val="00304ADE"/>
    <w:rsid w:val="00305B07"/>
    <w:rsid w:val="00307ECD"/>
    <w:rsid w:val="003101EF"/>
    <w:rsid w:val="003103FD"/>
    <w:rsid w:val="003104A8"/>
    <w:rsid w:val="003108F5"/>
    <w:rsid w:val="003109B3"/>
    <w:rsid w:val="00312040"/>
    <w:rsid w:val="0031364F"/>
    <w:rsid w:val="00313C80"/>
    <w:rsid w:val="00314476"/>
    <w:rsid w:val="00315FBA"/>
    <w:rsid w:val="00320991"/>
    <w:rsid w:val="00320D25"/>
    <w:rsid w:val="00321B47"/>
    <w:rsid w:val="00322BFF"/>
    <w:rsid w:val="003235AB"/>
    <w:rsid w:val="00323E9D"/>
    <w:rsid w:val="0032592C"/>
    <w:rsid w:val="00325F33"/>
    <w:rsid w:val="00326C56"/>
    <w:rsid w:val="00327B73"/>
    <w:rsid w:val="00333151"/>
    <w:rsid w:val="0033435B"/>
    <w:rsid w:val="00335809"/>
    <w:rsid w:val="003365C1"/>
    <w:rsid w:val="0033751A"/>
    <w:rsid w:val="00337DBA"/>
    <w:rsid w:val="00340835"/>
    <w:rsid w:val="00341E0F"/>
    <w:rsid w:val="00344BFD"/>
    <w:rsid w:val="003461B7"/>
    <w:rsid w:val="003476C0"/>
    <w:rsid w:val="00347A35"/>
    <w:rsid w:val="003504E7"/>
    <w:rsid w:val="003524A6"/>
    <w:rsid w:val="00352AA4"/>
    <w:rsid w:val="00353BBB"/>
    <w:rsid w:val="003547C0"/>
    <w:rsid w:val="00355BCD"/>
    <w:rsid w:val="00355C68"/>
    <w:rsid w:val="00355FA4"/>
    <w:rsid w:val="003565B0"/>
    <w:rsid w:val="00356F63"/>
    <w:rsid w:val="00357F51"/>
    <w:rsid w:val="003602D7"/>
    <w:rsid w:val="0036083B"/>
    <w:rsid w:val="00360B53"/>
    <w:rsid w:val="003623F1"/>
    <w:rsid w:val="0036244F"/>
    <w:rsid w:val="003634E5"/>
    <w:rsid w:val="0036633D"/>
    <w:rsid w:val="00367B9F"/>
    <w:rsid w:val="00370C55"/>
    <w:rsid w:val="00371216"/>
    <w:rsid w:val="003727C6"/>
    <w:rsid w:val="0037575E"/>
    <w:rsid w:val="003759DA"/>
    <w:rsid w:val="00376061"/>
    <w:rsid w:val="0037677C"/>
    <w:rsid w:val="00377F14"/>
    <w:rsid w:val="0038031B"/>
    <w:rsid w:val="00380F3F"/>
    <w:rsid w:val="00383BEB"/>
    <w:rsid w:val="00386ACB"/>
    <w:rsid w:val="003876E7"/>
    <w:rsid w:val="00387A44"/>
    <w:rsid w:val="00390A09"/>
    <w:rsid w:val="00390E2D"/>
    <w:rsid w:val="00393047"/>
    <w:rsid w:val="0039754E"/>
    <w:rsid w:val="003975FE"/>
    <w:rsid w:val="003A004E"/>
    <w:rsid w:val="003A3039"/>
    <w:rsid w:val="003A3A68"/>
    <w:rsid w:val="003A43AA"/>
    <w:rsid w:val="003A4B1E"/>
    <w:rsid w:val="003A4E9A"/>
    <w:rsid w:val="003A5B3B"/>
    <w:rsid w:val="003B1121"/>
    <w:rsid w:val="003B1703"/>
    <w:rsid w:val="003B21EE"/>
    <w:rsid w:val="003B2660"/>
    <w:rsid w:val="003B34B4"/>
    <w:rsid w:val="003B6648"/>
    <w:rsid w:val="003B7EB5"/>
    <w:rsid w:val="003C1A84"/>
    <w:rsid w:val="003C299F"/>
    <w:rsid w:val="003C421E"/>
    <w:rsid w:val="003C5558"/>
    <w:rsid w:val="003C5C27"/>
    <w:rsid w:val="003C69CA"/>
    <w:rsid w:val="003C7558"/>
    <w:rsid w:val="003C78E5"/>
    <w:rsid w:val="003D10B7"/>
    <w:rsid w:val="003D266F"/>
    <w:rsid w:val="003D303F"/>
    <w:rsid w:val="003D5163"/>
    <w:rsid w:val="003D58A0"/>
    <w:rsid w:val="003D71C8"/>
    <w:rsid w:val="003D7E5A"/>
    <w:rsid w:val="003D7F9A"/>
    <w:rsid w:val="003E1380"/>
    <w:rsid w:val="003E15AE"/>
    <w:rsid w:val="003E1CBD"/>
    <w:rsid w:val="003E25E8"/>
    <w:rsid w:val="003E4CEC"/>
    <w:rsid w:val="003F1650"/>
    <w:rsid w:val="003F1CA7"/>
    <w:rsid w:val="003F420F"/>
    <w:rsid w:val="003F455C"/>
    <w:rsid w:val="003F47AB"/>
    <w:rsid w:val="003F5A66"/>
    <w:rsid w:val="003F6A1C"/>
    <w:rsid w:val="003F7E5E"/>
    <w:rsid w:val="00402D0A"/>
    <w:rsid w:val="00402D84"/>
    <w:rsid w:val="0040469E"/>
    <w:rsid w:val="00405331"/>
    <w:rsid w:val="00406CA3"/>
    <w:rsid w:val="00406CDC"/>
    <w:rsid w:val="004152F1"/>
    <w:rsid w:val="00417252"/>
    <w:rsid w:val="00417616"/>
    <w:rsid w:val="0042028C"/>
    <w:rsid w:val="0042310B"/>
    <w:rsid w:val="004242AE"/>
    <w:rsid w:val="00424A7C"/>
    <w:rsid w:val="004257FC"/>
    <w:rsid w:val="00426761"/>
    <w:rsid w:val="00426DFE"/>
    <w:rsid w:val="00431F5A"/>
    <w:rsid w:val="00432957"/>
    <w:rsid w:val="0044208F"/>
    <w:rsid w:val="00443EA8"/>
    <w:rsid w:val="00443F9F"/>
    <w:rsid w:val="00444EF7"/>
    <w:rsid w:val="00445489"/>
    <w:rsid w:val="004466F3"/>
    <w:rsid w:val="00446849"/>
    <w:rsid w:val="00446F27"/>
    <w:rsid w:val="00446F35"/>
    <w:rsid w:val="0044779F"/>
    <w:rsid w:val="00451076"/>
    <w:rsid w:val="00452575"/>
    <w:rsid w:val="00455764"/>
    <w:rsid w:val="00455F4F"/>
    <w:rsid w:val="00456204"/>
    <w:rsid w:val="00457498"/>
    <w:rsid w:val="00457CD2"/>
    <w:rsid w:val="00462270"/>
    <w:rsid w:val="00463E1E"/>
    <w:rsid w:val="00464C87"/>
    <w:rsid w:val="004655E6"/>
    <w:rsid w:val="0046681A"/>
    <w:rsid w:val="00467474"/>
    <w:rsid w:val="004700A2"/>
    <w:rsid w:val="0047044E"/>
    <w:rsid w:val="004733D1"/>
    <w:rsid w:val="0047403B"/>
    <w:rsid w:val="00477850"/>
    <w:rsid w:val="00477E3F"/>
    <w:rsid w:val="00481764"/>
    <w:rsid w:val="00481FDD"/>
    <w:rsid w:val="00482A72"/>
    <w:rsid w:val="00483363"/>
    <w:rsid w:val="004837F4"/>
    <w:rsid w:val="00483C20"/>
    <w:rsid w:val="00485503"/>
    <w:rsid w:val="0048580D"/>
    <w:rsid w:val="00485C9D"/>
    <w:rsid w:val="00486C00"/>
    <w:rsid w:val="00486F0E"/>
    <w:rsid w:val="0048748A"/>
    <w:rsid w:val="00487846"/>
    <w:rsid w:val="00495B17"/>
    <w:rsid w:val="00497842"/>
    <w:rsid w:val="004A0138"/>
    <w:rsid w:val="004A1291"/>
    <w:rsid w:val="004A1537"/>
    <w:rsid w:val="004A1755"/>
    <w:rsid w:val="004A1A93"/>
    <w:rsid w:val="004A25A9"/>
    <w:rsid w:val="004A32BF"/>
    <w:rsid w:val="004A37B0"/>
    <w:rsid w:val="004A505C"/>
    <w:rsid w:val="004A55F8"/>
    <w:rsid w:val="004A71F6"/>
    <w:rsid w:val="004A7EF9"/>
    <w:rsid w:val="004B02C2"/>
    <w:rsid w:val="004B2024"/>
    <w:rsid w:val="004B26EA"/>
    <w:rsid w:val="004B4494"/>
    <w:rsid w:val="004B5969"/>
    <w:rsid w:val="004B5A19"/>
    <w:rsid w:val="004B5C2D"/>
    <w:rsid w:val="004B5FC0"/>
    <w:rsid w:val="004B6535"/>
    <w:rsid w:val="004B6B78"/>
    <w:rsid w:val="004C02F1"/>
    <w:rsid w:val="004C1CD1"/>
    <w:rsid w:val="004C3157"/>
    <w:rsid w:val="004C3C0E"/>
    <w:rsid w:val="004C5028"/>
    <w:rsid w:val="004C6EBF"/>
    <w:rsid w:val="004C72D8"/>
    <w:rsid w:val="004C7931"/>
    <w:rsid w:val="004D178C"/>
    <w:rsid w:val="004D2DBF"/>
    <w:rsid w:val="004D49E7"/>
    <w:rsid w:val="004D5078"/>
    <w:rsid w:val="004D51DA"/>
    <w:rsid w:val="004D56AE"/>
    <w:rsid w:val="004D5DF5"/>
    <w:rsid w:val="004D5E2C"/>
    <w:rsid w:val="004D7600"/>
    <w:rsid w:val="004E3A1F"/>
    <w:rsid w:val="004E593B"/>
    <w:rsid w:val="004F4EF2"/>
    <w:rsid w:val="004F634E"/>
    <w:rsid w:val="004F6FF0"/>
    <w:rsid w:val="004F752A"/>
    <w:rsid w:val="004F7D42"/>
    <w:rsid w:val="00500036"/>
    <w:rsid w:val="005008FB"/>
    <w:rsid w:val="00501622"/>
    <w:rsid w:val="0050165B"/>
    <w:rsid w:val="005023BD"/>
    <w:rsid w:val="0050448D"/>
    <w:rsid w:val="00504BC3"/>
    <w:rsid w:val="00505DE8"/>
    <w:rsid w:val="00506AF3"/>
    <w:rsid w:val="00507661"/>
    <w:rsid w:val="00510296"/>
    <w:rsid w:val="00511F76"/>
    <w:rsid w:val="00512E76"/>
    <w:rsid w:val="00514AD3"/>
    <w:rsid w:val="00514F08"/>
    <w:rsid w:val="005151D9"/>
    <w:rsid w:val="0051542F"/>
    <w:rsid w:val="00517673"/>
    <w:rsid w:val="005210AD"/>
    <w:rsid w:val="00521453"/>
    <w:rsid w:val="005217F5"/>
    <w:rsid w:val="00522A16"/>
    <w:rsid w:val="00523E7A"/>
    <w:rsid w:val="005248A1"/>
    <w:rsid w:val="00526B45"/>
    <w:rsid w:val="00526CCC"/>
    <w:rsid w:val="00530CE8"/>
    <w:rsid w:val="00533A6E"/>
    <w:rsid w:val="00540437"/>
    <w:rsid w:val="00541C86"/>
    <w:rsid w:val="00541CA7"/>
    <w:rsid w:val="005437A0"/>
    <w:rsid w:val="0054455C"/>
    <w:rsid w:val="005445C3"/>
    <w:rsid w:val="0054639F"/>
    <w:rsid w:val="005469E6"/>
    <w:rsid w:val="00546B28"/>
    <w:rsid w:val="00546C0D"/>
    <w:rsid w:val="005479BA"/>
    <w:rsid w:val="00547D6A"/>
    <w:rsid w:val="005502DF"/>
    <w:rsid w:val="0055118E"/>
    <w:rsid w:val="00553022"/>
    <w:rsid w:val="0055323B"/>
    <w:rsid w:val="0055433A"/>
    <w:rsid w:val="00560C70"/>
    <w:rsid w:val="00560DDA"/>
    <w:rsid w:val="0056128E"/>
    <w:rsid w:val="00561EE9"/>
    <w:rsid w:val="00562578"/>
    <w:rsid w:val="00564ED5"/>
    <w:rsid w:val="005667A7"/>
    <w:rsid w:val="00566DA3"/>
    <w:rsid w:val="005726F5"/>
    <w:rsid w:val="00574769"/>
    <w:rsid w:val="005769EB"/>
    <w:rsid w:val="00577747"/>
    <w:rsid w:val="00577E17"/>
    <w:rsid w:val="005804B5"/>
    <w:rsid w:val="005816A0"/>
    <w:rsid w:val="0058235E"/>
    <w:rsid w:val="00582882"/>
    <w:rsid w:val="0058367C"/>
    <w:rsid w:val="00584114"/>
    <w:rsid w:val="0058559E"/>
    <w:rsid w:val="0059004B"/>
    <w:rsid w:val="00591C81"/>
    <w:rsid w:val="00593B97"/>
    <w:rsid w:val="0059442A"/>
    <w:rsid w:val="0059670F"/>
    <w:rsid w:val="0059789D"/>
    <w:rsid w:val="00597F60"/>
    <w:rsid w:val="005A14CE"/>
    <w:rsid w:val="005A1F81"/>
    <w:rsid w:val="005A252A"/>
    <w:rsid w:val="005A3E8C"/>
    <w:rsid w:val="005A4ABD"/>
    <w:rsid w:val="005A4F3A"/>
    <w:rsid w:val="005A52E2"/>
    <w:rsid w:val="005A69C9"/>
    <w:rsid w:val="005A70AD"/>
    <w:rsid w:val="005B0F2A"/>
    <w:rsid w:val="005B1249"/>
    <w:rsid w:val="005B1AB0"/>
    <w:rsid w:val="005B4698"/>
    <w:rsid w:val="005B4A00"/>
    <w:rsid w:val="005B532D"/>
    <w:rsid w:val="005C0108"/>
    <w:rsid w:val="005C0ABF"/>
    <w:rsid w:val="005C0E0D"/>
    <w:rsid w:val="005C2F2C"/>
    <w:rsid w:val="005C3AB9"/>
    <w:rsid w:val="005C40D6"/>
    <w:rsid w:val="005C44B4"/>
    <w:rsid w:val="005C50AF"/>
    <w:rsid w:val="005C65BD"/>
    <w:rsid w:val="005C79CA"/>
    <w:rsid w:val="005D0A67"/>
    <w:rsid w:val="005D0C80"/>
    <w:rsid w:val="005D0F2D"/>
    <w:rsid w:val="005D1374"/>
    <w:rsid w:val="005D1392"/>
    <w:rsid w:val="005D4B62"/>
    <w:rsid w:val="005D57B1"/>
    <w:rsid w:val="005D6F64"/>
    <w:rsid w:val="005E1010"/>
    <w:rsid w:val="005E1A32"/>
    <w:rsid w:val="005E3F1B"/>
    <w:rsid w:val="005E4091"/>
    <w:rsid w:val="005E4B51"/>
    <w:rsid w:val="005F0552"/>
    <w:rsid w:val="005F06E7"/>
    <w:rsid w:val="005F21D1"/>
    <w:rsid w:val="005F4F6C"/>
    <w:rsid w:val="005F6D25"/>
    <w:rsid w:val="00600310"/>
    <w:rsid w:val="0060166E"/>
    <w:rsid w:val="00602630"/>
    <w:rsid w:val="00602D49"/>
    <w:rsid w:val="006032EB"/>
    <w:rsid w:val="00603A97"/>
    <w:rsid w:val="006041BF"/>
    <w:rsid w:val="0060421B"/>
    <w:rsid w:val="00606B19"/>
    <w:rsid w:val="006110CD"/>
    <w:rsid w:val="00611CDB"/>
    <w:rsid w:val="00613065"/>
    <w:rsid w:val="00615C9A"/>
    <w:rsid w:val="006162DA"/>
    <w:rsid w:val="00616446"/>
    <w:rsid w:val="006165E2"/>
    <w:rsid w:val="006174CB"/>
    <w:rsid w:val="00617D69"/>
    <w:rsid w:val="00620023"/>
    <w:rsid w:val="00622742"/>
    <w:rsid w:val="00622B87"/>
    <w:rsid w:val="006234D0"/>
    <w:rsid w:val="00623BED"/>
    <w:rsid w:val="0062480D"/>
    <w:rsid w:val="006274A2"/>
    <w:rsid w:val="006324B3"/>
    <w:rsid w:val="00632948"/>
    <w:rsid w:val="00634A6C"/>
    <w:rsid w:val="00635CCF"/>
    <w:rsid w:val="00636B7F"/>
    <w:rsid w:val="00636C13"/>
    <w:rsid w:val="006406FD"/>
    <w:rsid w:val="00641308"/>
    <w:rsid w:val="0064197D"/>
    <w:rsid w:val="00644D15"/>
    <w:rsid w:val="00646BE7"/>
    <w:rsid w:val="00646ECA"/>
    <w:rsid w:val="00647CBE"/>
    <w:rsid w:val="006515EA"/>
    <w:rsid w:val="006524A6"/>
    <w:rsid w:val="00653D67"/>
    <w:rsid w:val="00654459"/>
    <w:rsid w:val="00655CD5"/>
    <w:rsid w:val="00655E04"/>
    <w:rsid w:val="0065700B"/>
    <w:rsid w:val="006607AB"/>
    <w:rsid w:val="006631EA"/>
    <w:rsid w:val="00663DFD"/>
    <w:rsid w:val="00663F1B"/>
    <w:rsid w:val="0066494C"/>
    <w:rsid w:val="00664BB6"/>
    <w:rsid w:val="00665069"/>
    <w:rsid w:val="00665386"/>
    <w:rsid w:val="0066659B"/>
    <w:rsid w:val="00667E68"/>
    <w:rsid w:val="006704AA"/>
    <w:rsid w:val="006706F1"/>
    <w:rsid w:val="00671047"/>
    <w:rsid w:val="0067178E"/>
    <w:rsid w:val="00672453"/>
    <w:rsid w:val="00673839"/>
    <w:rsid w:val="00675513"/>
    <w:rsid w:val="006765F2"/>
    <w:rsid w:val="00676B74"/>
    <w:rsid w:val="00681821"/>
    <w:rsid w:val="0068311F"/>
    <w:rsid w:val="00683B47"/>
    <w:rsid w:val="00685655"/>
    <w:rsid w:val="006873EF"/>
    <w:rsid w:val="0069118A"/>
    <w:rsid w:val="00691E3B"/>
    <w:rsid w:val="006920C8"/>
    <w:rsid w:val="006953AF"/>
    <w:rsid w:val="006A000F"/>
    <w:rsid w:val="006A041C"/>
    <w:rsid w:val="006A39BE"/>
    <w:rsid w:val="006A55C0"/>
    <w:rsid w:val="006A5BC5"/>
    <w:rsid w:val="006A616C"/>
    <w:rsid w:val="006A6321"/>
    <w:rsid w:val="006A76CA"/>
    <w:rsid w:val="006B113C"/>
    <w:rsid w:val="006B310A"/>
    <w:rsid w:val="006B3813"/>
    <w:rsid w:val="006B45A6"/>
    <w:rsid w:val="006B475B"/>
    <w:rsid w:val="006B4EBB"/>
    <w:rsid w:val="006B54C5"/>
    <w:rsid w:val="006B5506"/>
    <w:rsid w:val="006B5C72"/>
    <w:rsid w:val="006B5D10"/>
    <w:rsid w:val="006C0F69"/>
    <w:rsid w:val="006C1221"/>
    <w:rsid w:val="006C3C2E"/>
    <w:rsid w:val="006C3CA4"/>
    <w:rsid w:val="006C5F70"/>
    <w:rsid w:val="006C635B"/>
    <w:rsid w:val="006C6A18"/>
    <w:rsid w:val="006C6A97"/>
    <w:rsid w:val="006D1070"/>
    <w:rsid w:val="006D1AD8"/>
    <w:rsid w:val="006D28B3"/>
    <w:rsid w:val="006D2A06"/>
    <w:rsid w:val="006D4677"/>
    <w:rsid w:val="006D4E71"/>
    <w:rsid w:val="006D745A"/>
    <w:rsid w:val="006E1AA6"/>
    <w:rsid w:val="006E27B8"/>
    <w:rsid w:val="006E2B12"/>
    <w:rsid w:val="006E3512"/>
    <w:rsid w:val="006E44E9"/>
    <w:rsid w:val="006E6B66"/>
    <w:rsid w:val="006E6FF6"/>
    <w:rsid w:val="006E7C63"/>
    <w:rsid w:val="006F609D"/>
    <w:rsid w:val="006F7967"/>
    <w:rsid w:val="00702EE7"/>
    <w:rsid w:val="00702F7E"/>
    <w:rsid w:val="00703C5C"/>
    <w:rsid w:val="0070496E"/>
    <w:rsid w:val="00711873"/>
    <w:rsid w:val="00711895"/>
    <w:rsid w:val="00715722"/>
    <w:rsid w:val="00715BAA"/>
    <w:rsid w:val="0072195F"/>
    <w:rsid w:val="00721A8F"/>
    <w:rsid w:val="007234F3"/>
    <w:rsid w:val="00723795"/>
    <w:rsid w:val="007237CD"/>
    <w:rsid w:val="00723B85"/>
    <w:rsid w:val="00725095"/>
    <w:rsid w:val="00725229"/>
    <w:rsid w:val="00725997"/>
    <w:rsid w:val="00726C2E"/>
    <w:rsid w:val="00730497"/>
    <w:rsid w:val="007310BC"/>
    <w:rsid w:val="007337C3"/>
    <w:rsid w:val="0073536E"/>
    <w:rsid w:val="007355DF"/>
    <w:rsid w:val="00737B99"/>
    <w:rsid w:val="00737CD5"/>
    <w:rsid w:val="00741815"/>
    <w:rsid w:val="00741C47"/>
    <w:rsid w:val="00742CD1"/>
    <w:rsid w:val="00743499"/>
    <w:rsid w:val="00743987"/>
    <w:rsid w:val="00744724"/>
    <w:rsid w:val="00745095"/>
    <w:rsid w:val="00745BB3"/>
    <w:rsid w:val="00745F41"/>
    <w:rsid w:val="00746949"/>
    <w:rsid w:val="00747E53"/>
    <w:rsid w:val="00750425"/>
    <w:rsid w:val="0075205E"/>
    <w:rsid w:val="00756AC8"/>
    <w:rsid w:val="00757A55"/>
    <w:rsid w:val="00757D65"/>
    <w:rsid w:val="007606DC"/>
    <w:rsid w:val="007608D2"/>
    <w:rsid w:val="00761A4B"/>
    <w:rsid w:val="00762276"/>
    <w:rsid w:val="00763BE2"/>
    <w:rsid w:val="00763CC9"/>
    <w:rsid w:val="0076637A"/>
    <w:rsid w:val="00766DD9"/>
    <w:rsid w:val="00766EE8"/>
    <w:rsid w:val="00767C1E"/>
    <w:rsid w:val="007704B8"/>
    <w:rsid w:val="00770981"/>
    <w:rsid w:val="00771FF4"/>
    <w:rsid w:val="00773BAC"/>
    <w:rsid w:val="007767A6"/>
    <w:rsid w:val="00776CEC"/>
    <w:rsid w:val="007800AA"/>
    <w:rsid w:val="00780259"/>
    <w:rsid w:val="00780E00"/>
    <w:rsid w:val="007830DB"/>
    <w:rsid w:val="007838AF"/>
    <w:rsid w:val="0079057C"/>
    <w:rsid w:val="007913F5"/>
    <w:rsid w:val="007919A5"/>
    <w:rsid w:val="007931FE"/>
    <w:rsid w:val="007935CB"/>
    <w:rsid w:val="00793760"/>
    <w:rsid w:val="00793886"/>
    <w:rsid w:val="00793BE0"/>
    <w:rsid w:val="00796C56"/>
    <w:rsid w:val="007A0505"/>
    <w:rsid w:val="007A2983"/>
    <w:rsid w:val="007A4768"/>
    <w:rsid w:val="007A4B3B"/>
    <w:rsid w:val="007A63FE"/>
    <w:rsid w:val="007A6909"/>
    <w:rsid w:val="007A708E"/>
    <w:rsid w:val="007B1248"/>
    <w:rsid w:val="007B127D"/>
    <w:rsid w:val="007B1C66"/>
    <w:rsid w:val="007B1F18"/>
    <w:rsid w:val="007B35DB"/>
    <w:rsid w:val="007B3BD0"/>
    <w:rsid w:val="007B40F8"/>
    <w:rsid w:val="007B76AD"/>
    <w:rsid w:val="007C1E29"/>
    <w:rsid w:val="007C20B1"/>
    <w:rsid w:val="007C45F9"/>
    <w:rsid w:val="007C4D71"/>
    <w:rsid w:val="007C6764"/>
    <w:rsid w:val="007D167B"/>
    <w:rsid w:val="007D394B"/>
    <w:rsid w:val="007E1530"/>
    <w:rsid w:val="007E157D"/>
    <w:rsid w:val="007E1B02"/>
    <w:rsid w:val="007E312F"/>
    <w:rsid w:val="007E343E"/>
    <w:rsid w:val="007E6CAC"/>
    <w:rsid w:val="007E7440"/>
    <w:rsid w:val="007E754F"/>
    <w:rsid w:val="007F008C"/>
    <w:rsid w:val="007F13D0"/>
    <w:rsid w:val="007F225E"/>
    <w:rsid w:val="007F2668"/>
    <w:rsid w:val="007F4A0F"/>
    <w:rsid w:val="007F5380"/>
    <w:rsid w:val="007F7872"/>
    <w:rsid w:val="00800505"/>
    <w:rsid w:val="0080058C"/>
    <w:rsid w:val="00801F81"/>
    <w:rsid w:val="00804DC5"/>
    <w:rsid w:val="00805068"/>
    <w:rsid w:val="00805A32"/>
    <w:rsid w:val="00805E40"/>
    <w:rsid w:val="008067F1"/>
    <w:rsid w:val="00807365"/>
    <w:rsid w:val="0081374A"/>
    <w:rsid w:val="008150C4"/>
    <w:rsid w:val="00815685"/>
    <w:rsid w:val="00815F34"/>
    <w:rsid w:val="00815F41"/>
    <w:rsid w:val="00815FCD"/>
    <w:rsid w:val="008170C3"/>
    <w:rsid w:val="00817212"/>
    <w:rsid w:val="008205F9"/>
    <w:rsid w:val="008206F9"/>
    <w:rsid w:val="008207E8"/>
    <w:rsid w:val="008213EB"/>
    <w:rsid w:val="00821F0A"/>
    <w:rsid w:val="00823A31"/>
    <w:rsid w:val="008243AF"/>
    <w:rsid w:val="00824D7E"/>
    <w:rsid w:val="00824E4B"/>
    <w:rsid w:val="00825044"/>
    <w:rsid w:val="00825B8D"/>
    <w:rsid w:val="008277B6"/>
    <w:rsid w:val="00830076"/>
    <w:rsid w:val="008300D1"/>
    <w:rsid w:val="00833E91"/>
    <w:rsid w:val="00835370"/>
    <w:rsid w:val="0083670B"/>
    <w:rsid w:val="00836EA3"/>
    <w:rsid w:val="00837B57"/>
    <w:rsid w:val="0084174D"/>
    <w:rsid w:val="00841B6D"/>
    <w:rsid w:val="0084205A"/>
    <w:rsid w:val="0084307D"/>
    <w:rsid w:val="00843A8A"/>
    <w:rsid w:val="00845449"/>
    <w:rsid w:val="00845E49"/>
    <w:rsid w:val="0084698F"/>
    <w:rsid w:val="00851BB7"/>
    <w:rsid w:val="0085261C"/>
    <w:rsid w:val="00853623"/>
    <w:rsid w:val="00853679"/>
    <w:rsid w:val="00853807"/>
    <w:rsid w:val="00853B06"/>
    <w:rsid w:val="00854E3C"/>
    <w:rsid w:val="00855449"/>
    <w:rsid w:val="008632CB"/>
    <w:rsid w:val="0086481C"/>
    <w:rsid w:val="00864B28"/>
    <w:rsid w:val="00864C2A"/>
    <w:rsid w:val="00866EAC"/>
    <w:rsid w:val="00867B63"/>
    <w:rsid w:val="0087106F"/>
    <w:rsid w:val="00872159"/>
    <w:rsid w:val="00875FF4"/>
    <w:rsid w:val="0087697F"/>
    <w:rsid w:val="008804C7"/>
    <w:rsid w:val="0088097D"/>
    <w:rsid w:val="00881AB8"/>
    <w:rsid w:val="008821C2"/>
    <w:rsid w:val="008824AC"/>
    <w:rsid w:val="008831C4"/>
    <w:rsid w:val="00883421"/>
    <w:rsid w:val="0088661B"/>
    <w:rsid w:val="00886A97"/>
    <w:rsid w:val="0088751D"/>
    <w:rsid w:val="0089091D"/>
    <w:rsid w:val="008912F0"/>
    <w:rsid w:val="0089172A"/>
    <w:rsid w:val="00892BBD"/>
    <w:rsid w:val="00893314"/>
    <w:rsid w:val="00893A4E"/>
    <w:rsid w:val="0089785B"/>
    <w:rsid w:val="008978E0"/>
    <w:rsid w:val="008A1A6A"/>
    <w:rsid w:val="008A353B"/>
    <w:rsid w:val="008A38B6"/>
    <w:rsid w:val="008A5829"/>
    <w:rsid w:val="008A58B3"/>
    <w:rsid w:val="008A6602"/>
    <w:rsid w:val="008A6729"/>
    <w:rsid w:val="008A7A62"/>
    <w:rsid w:val="008B0140"/>
    <w:rsid w:val="008B14FC"/>
    <w:rsid w:val="008B15B0"/>
    <w:rsid w:val="008B21B5"/>
    <w:rsid w:val="008B2733"/>
    <w:rsid w:val="008B305A"/>
    <w:rsid w:val="008B3A17"/>
    <w:rsid w:val="008B4D43"/>
    <w:rsid w:val="008B5408"/>
    <w:rsid w:val="008B7C2E"/>
    <w:rsid w:val="008C22A7"/>
    <w:rsid w:val="008C2524"/>
    <w:rsid w:val="008C277F"/>
    <w:rsid w:val="008C324F"/>
    <w:rsid w:val="008C4729"/>
    <w:rsid w:val="008C4861"/>
    <w:rsid w:val="008D14E7"/>
    <w:rsid w:val="008D1A44"/>
    <w:rsid w:val="008D1A7B"/>
    <w:rsid w:val="008D1B5A"/>
    <w:rsid w:val="008D2977"/>
    <w:rsid w:val="008D2CD5"/>
    <w:rsid w:val="008D2F19"/>
    <w:rsid w:val="008D34A5"/>
    <w:rsid w:val="008D3CD2"/>
    <w:rsid w:val="008D3FCE"/>
    <w:rsid w:val="008D743A"/>
    <w:rsid w:val="008E06CD"/>
    <w:rsid w:val="008E1A10"/>
    <w:rsid w:val="008E3694"/>
    <w:rsid w:val="008E394C"/>
    <w:rsid w:val="008E5355"/>
    <w:rsid w:val="008E70EE"/>
    <w:rsid w:val="008E746F"/>
    <w:rsid w:val="008F0161"/>
    <w:rsid w:val="008F3EDC"/>
    <w:rsid w:val="008F561F"/>
    <w:rsid w:val="008F59F0"/>
    <w:rsid w:val="008F6AD5"/>
    <w:rsid w:val="008F6C75"/>
    <w:rsid w:val="008F6FF7"/>
    <w:rsid w:val="008F705C"/>
    <w:rsid w:val="00900490"/>
    <w:rsid w:val="009013ED"/>
    <w:rsid w:val="00902DB7"/>
    <w:rsid w:val="00903886"/>
    <w:rsid w:val="00903C40"/>
    <w:rsid w:val="00903D66"/>
    <w:rsid w:val="0090405B"/>
    <w:rsid w:val="00904089"/>
    <w:rsid w:val="009049B4"/>
    <w:rsid w:val="009061AD"/>
    <w:rsid w:val="009073BC"/>
    <w:rsid w:val="0090765B"/>
    <w:rsid w:val="009105B7"/>
    <w:rsid w:val="009111E2"/>
    <w:rsid w:val="00912409"/>
    <w:rsid w:val="00913058"/>
    <w:rsid w:val="0091346B"/>
    <w:rsid w:val="0091417F"/>
    <w:rsid w:val="00915989"/>
    <w:rsid w:val="009167E2"/>
    <w:rsid w:val="00916C33"/>
    <w:rsid w:val="00922654"/>
    <w:rsid w:val="00923BC0"/>
    <w:rsid w:val="00923EEC"/>
    <w:rsid w:val="0092432A"/>
    <w:rsid w:val="009255E3"/>
    <w:rsid w:val="009260C9"/>
    <w:rsid w:val="00927857"/>
    <w:rsid w:val="00930539"/>
    <w:rsid w:val="009311BB"/>
    <w:rsid w:val="00931C71"/>
    <w:rsid w:val="00932073"/>
    <w:rsid w:val="00935367"/>
    <w:rsid w:val="009372CC"/>
    <w:rsid w:val="00943408"/>
    <w:rsid w:val="00943916"/>
    <w:rsid w:val="00943FAB"/>
    <w:rsid w:val="00944625"/>
    <w:rsid w:val="00945112"/>
    <w:rsid w:val="009468A1"/>
    <w:rsid w:val="00946D02"/>
    <w:rsid w:val="009510C5"/>
    <w:rsid w:val="0095174B"/>
    <w:rsid w:val="00953922"/>
    <w:rsid w:val="00953C10"/>
    <w:rsid w:val="00953ED9"/>
    <w:rsid w:val="00954783"/>
    <w:rsid w:val="0095520B"/>
    <w:rsid w:val="00955F47"/>
    <w:rsid w:val="00956B2E"/>
    <w:rsid w:val="0095762F"/>
    <w:rsid w:val="0096036F"/>
    <w:rsid w:val="00960633"/>
    <w:rsid w:val="00961F18"/>
    <w:rsid w:val="00962732"/>
    <w:rsid w:val="00962971"/>
    <w:rsid w:val="00962C18"/>
    <w:rsid w:val="0096366D"/>
    <w:rsid w:val="00963767"/>
    <w:rsid w:val="00963A61"/>
    <w:rsid w:val="00963E90"/>
    <w:rsid w:val="00964915"/>
    <w:rsid w:val="00965C20"/>
    <w:rsid w:val="0096644F"/>
    <w:rsid w:val="00967DA2"/>
    <w:rsid w:val="0097006C"/>
    <w:rsid w:val="0097177F"/>
    <w:rsid w:val="00971920"/>
    <w:rsid w:val="00971D9E"/>
    <w:rsid w:val="009731D8"/>
    <w:rsid w:val="00974944"/>
    <w:rsid w:val="009754A5"/>
    <w:rsid w:val="009758B3"/>
    <w:rsid w:val="00975971"/>
    <w:rsid w:val="00975F6A"/>
    <w:rsid w:val="009775A5"/>
    <w:rsid w:val="00977FF7"/>
    <w:rsid w:val="00981C8C"/>
    <w:rsid w:val="00982F42"/>
    <w:rsid w:val="009831DE"/>
    <w:rsid w:val="009860B7"/>
    <w:rsid w:val="00987422"/>
    <w:rsid w:val="00990209"/>
    <w:rsid w:val="00990F02"/>
    <w:rsid w:val="00991215"/>
    <w:rsid w:val="00992776"/>
    <w:rsid w:val="00992B6C"/>
    <w:rsid w:val="00994C8E"/>
    <w:rsid w:val="00995017"/>
    <w:rsid w:val="009A0854"/>
    <w:rsid w:val="009A087F"/>
    <w:rsid w:val="009A08CA"/>
    <w:rsid w:val="009A2890"/>
    <w:rsid w:val="009A3A36"/>
    <w:rsid w:val="009A44C4"/>
    <w:rsid w:val="009B1C58"/>
    <w:rsid w:val="009B2163"/>
    <w:rsid w:val="009B282F"/>
    <w:rsid w:val="009B4B26"/>
    <w:rsid w:val="009B5232"/>
    <w:rsid w:val="009B588C"/>
    <w:rsid w:val="009B745B"/>
    <w:rsid w:val="009C0DE0"/>
    <w:rsid w:val="009C1260"/>
    <w:rsid w:val="009C1824"/>
    <w:rsid w:val="009C4301"/>
    <w:rsid w:val="009C4EEC"/>
    <w:rsid w:val="009C6221"/>
    <w:rsid w:val="009C6EDE"/>
    <w:rsid w:val="009C71B9"/>
    <w:rsid w:val="009C739D"/>
    <w:rsid w:val="009C7B60"/>
    <w:rsid w:val="009D27A0"/>
    <w:rsid w:val="009D283F"/>
    <w:rsid w:val="009D4306"/>
    <w:rsid w:val="009D7331"/>
    <w:rsid w:val="009D7868"/>
    <w:rsid w:val="009E0BE6"/>
    <w:rsid w:val="009E3121"/>
    <w:rsid w:val="009E34A7"/>
    <w:rsid w:val="009E604F"/>
    <w:rsid w:val="009E7EA5"/>
    <w:rsid w:val="009F0720"/>
    <w:rsid w:val="009F183C"/>
    <w:rsid w:val="009F1D4F"/>
    <w:rsid w:val="009F28D9"/>
    <w:rsid w:val="009F2E9A"/>
    <w:rsid w:val="009F3B06"/>
    <w:rsid w:val="009F472C"/>
    <w:rsid w:val="009F547A"/>
    <w:rsid w:val="009F59A0"/>
    <w:rsid w:val="009F5A57"/>
    <w:rsid w:val="009F654D"/>
    <w:rsid w:val="009F69AD"/>
    <w:rsid w:val="009F72C5"/>
    <w:rsid w:val="00A00706"/>
    <w:rsid w:val="00A00F62"/>
    <w:rsid w:val="00A0110B"/>
    <w:rsid w:val="00A02194"/>
    <w:rsid w:val="00A02B5C"/>
    <w:rsid w:val="00A02FC6"/>
    <w:rsid w:val="00A03607"/>
    <w:rsid w:val="00A04B1A"/>
    <w:rsid w:val="00A058C4"/>
    <w:rsid w:val="00A05C6A"/>
    <w:rsid w:val="00A1089A"/>
    <w:rsid w:val="00A11179"/>
    <w:rsid w:val="00A12388"/>
    <w:rsid w:val="00A12627"/>
    <w:rsid w:val="00A128C5"/>
    <w:rsid w:val="00A137FD"/>
    <w:rsid w:val="00A13FEE"/>
    <w:rsid w:val="00A145AF"/>
    <w:rsid w:val="00A15D84"/>
    <w:rsid w:val="00A17747"/>
    <w:rsid w:val="00A17D8E"/>
    <w:rsid w:val="00A224A4"/>
    <w:rsid w:val="00A22B98"/>
    <w:rsid w:val="00A25A03"/>
    <w:rsid w:val="00A2685D"/>
    <w:rsid w:val="00A27E9B"/>
    <w:rsid w:val="00A30457"/>
    <w:rsid w:val="00A3192C"/>
    <w:rsid w:val="00A31D20"/>
    <w:rsid w:val="00A3469A"/>
    <w:rsid w:val="00A349B2"/>
    <w:rsid w:val="00A373C6"/>
    <w:rsid w:val="00A376E0"/>
    <w:rsid w:val="00A37985"/>
    <w:rsid w:val="00A40693"/>
    <w:rsid w:val="00A41067"/>
    <w:rsid w:val="00A420B4"/>
    <w:rsid w:val="00A42BA6"/>
    <w:rsid w:val="00A43503"/>
    <w:rsid w:val="00A4391C"/>
    <w:rsid w:val="00A43F61"/>
    <w:rsid w:val="00A45887"/>
    <w:rsid w:val="00A47194"/>
    <w:rsid w:val="00A506DC"/>
    <w:rsid w:val="00A522B4"/>
    <w:rsid w:val="00A527A9"/>
    <w:rsid w:val="00A54AE0"/>
    <w:rsid w:val="00A55B55"/>
    <w:rsid w:val="00A57141"/>
    <w:rsid w:val="00A612ED"/>
    <w:rsid w:val="00A614BB"/>
    <w:rsid w:val="00A61567"/>
    <w:rsid w:val="00A61972"/>
    <w:rsid w:val="00A6198F"/>
    <w:rsid w:val="00A61E9C"/>
    <w:rsid w:val="00A62608"/>
    <w:rsid w:val="00A63058"/>
    <w:rsid w:val="00A642EE"/>
    <w:rsid w:val="00A64981"/>
    <w:rsid w:val="00A653D2"/>
    <w:rsid w:val="00A658DC"/>
    <w:rsid w:val="00A65917"/>
    <w:rsid w:val="00A72141"/>
    <w:rsid w:val="00A73555"/>
    <w:rsid w:val="00A80522"/>
    <w:rsid w:val="00A80C01"/>
    <w:rsid w:val="00A81785"/>
    <w:rsid w:val="00A81947"/>
    <w:rsid w:val="00A821E5"/>
    <w:rsid w:val="00A825FD"/>
    <w:rsid w:val="00A82CC6"/>
    <w:rsid w:val="00A8315E"/>
    <w:rsid w:val="00A8572F"/>
    <w:rsid w:val="00A857B1"/>
    <w:rsid w:val="00A85997"/>
    <w:rsid w:val="00A86B9C"/>
    <w:rsid w:val="00A87926"/>
    <w:rsid w:val="00A91CB1"/>
    <w:rsid w:val="00A930EC"/>
    <w:rsid w:val="00A93576"/>
    <w:rsid w:val="00A93C5B"/>
    <w:rsid w:val="00A93E8B"/>
    <w:rsid w:val="00A94885"/>
    <w:rsid w:val="00A96A92"/>
    <w:rsid w:val="00AA0467"/>
    <w:rsid w:val="00AA05B8"/>
    <w:rsid w:val="00AA1358"/>
    <w:rsid w:val="00AA19B7"/>
    <w:rsid w:val="00AA2126"/>
    <w:rsid w:val="00AA2C45"/>
    <w:rsid w:val="00AA3AFE"/>
    <w:rsid w:val="00AA59D2"/>
    <w:rsid w:val="00AB0166"/>
    <w:rsid w:val="00AB1083"/>
    <w:rsid w:val="00AB2133"/>
    <w:rsid w:val="00AB4742"/>
    <w:rsid w:val="00AB7CED"/>
    <w:rsid w:val="00AC177A"/>
    <w:rsid w:val="00AC1D86"/>
    <w:rsid w:val="00AC2835"/>
    <w:rsid w:val="00AC2BA8"/>
    <w:rsid w:val="00AC3A7C"/>
    <w:rsid w:val="00AC57BD"/>
    <w:rsid w:val="00AC6DDB"/>
    <w:rsid w:val="00AD01CD"/>
    <w:rsid w:val="00AD032E"/>
    <w:rsid w:val="00AD1FD3"/>
    <w:rsid w:val="00AD2646"/>
    <w:rsid w:val="00AD2928"/>
    <w:rsid w:val="00AD2B64"/>
    <w:rsid w:val="00AD3E8C"/>
    <w:rsid w:val="00AE03EC"/>
    <w:rsid w:val="00AE1AAA"/>
    <w:rsid w:val="00AE1F6B"/>
    <w:rsid w:val="00AE378D"/>
    <w:rsid w:val="00AE5454"/>
    <w:rsid w:val="00AE5928"/>
    <w:rsid w:val="00AE5F6E"/>
    <w:rsid w:val="00AE60DC"/>
    <w:rsid w:val="00AE6E88"/>
    <w:rsid w:val="00AE7158"/>
    <w:rsid w:val="00AE7C9A"/>
    <w:rsid w:val="00AF01FD"/>
    <w:rsid w:val="00AF186F"/>
    <w:rsid w:val="00AF2F72"/>
    <w:rsid w:val="00AF3B8F"/>
    <w:rsid w:val="00AF6F27"/>
    <w:rsid w:val="00AF6FF1"/>
    <w:rsid w:val="00B028E3"/>
    <w:rsid w:val="00B02E61"/>
    <w:rsid w:val="00B0327D"/>
    <w:rsid w:val="00B0331B"/>
    <w:rsid w:val="00B03B71"/>
    <w:rsid w:val="00B045AA"/>
    <w:rsid w:val="00B05089"/>
    <w:rsid w:val="00B0606B"/>
    <w:rsid w:val="00B11BFA"/>
    <w:rsid w:val="00B14D3B"/>
    <w:rsid w:val="00B15A6C"/>
    <w:rsid w:val="00B16796"/>
    <w:rsid w:val="00B170BB"/>
    <w:rsid w:val="00B20B0F"/>
    <w:rsid w:val="00B20BFB"/>
    <w:rsid w:val="00B22249"/>
    <w:rsid w:val="00B2255F"/>
    <w:rsid w:val="00B22782"/>
    <w:rsid w:val="00B27B52"/>
    <w:rsid w:val="00B30404"/>
    <w:rsid w:val="00B31244"/>
    <w:rsid w:val="00B31931"/>
    <w:rsid w:val="00B31985"/>
    <w:rsid w:val="00B33789"/>
    <w:rsid w:val="00B3796B"/>
    <w:rsid w:val="00B402E1"/>
    <w:rsid w:val="00B402FF"/>
    <w:rsid w:val="00B414DB"/>
    <w:rsid w:val="00B428C6"/>
    <w:rsid w:val="00B4291F"/>
    <w:rsid w:val="00B435A0"/>
    <w:rsid w:val="00B43692"/>
    <w:rsid w:val="00B44102"/>
    <w:rsid w:val="00B46926"/>
    <w:rsid w:val="00B50F40"/>
    <w:rsid w:val="00B558CD"/>
    <w:rsid w:val="00B55A42"/>
    <w:rsid w:val="00B55B2F"/>
    <w:rsid w:val="00B55DE3"/>
    <w:rsid w:val="00B56231"/>
    <w:rsid w:val="00B60614"/>
    <w:rsid w:val="00B6077F"/>
    <w:rsid w:val="00B64CFB"/>
    <w:rsid w:val="00B660DC"/>
    <w:rsid w:val="00B66BAE"/>
    <w:rsid w:val="00B71618"/>
    <w:rsid w:val="00B71C7C"/>
    <w:rsid w:val="00B72102"/>
    <w:rsid w:val="00B73501"/>
    <w:rsid w:val="00B7389D"/>
    <w:rsid w:val="00B74694"/>
    <w:rsid w:val="00B756B7"/>
    <w:rsid w:val="00B77254"/>
    <w:rsid w:val="00B826DD"/>
    <w:rsid w:val="00B82AD7"/>
    <w:rsid w:val="00B868BC"/>
    <w:rsid w:val="00B86E9C"/>
    <w:rsid w:val="00B9382A"/>
    <w:rsid w:val="00B95DE9"/>
    <w:rsid w:val="00B968DA"/>
    <w:rsid w:val="00B970AE"/>
    <w:rsid w:val="00B975A9"/>
    <w:rsid w:val="00B976EE"/>
    <w:rsid w:val="00BA10E3"/>
    <w:rsid w:val="00BA1DAD"/>
    <w:rsid w:val="00BA2CC4"/>
    <w:rsid w:val="00BA3CB2"/>
    <w:rsid w:val="00BA4747"/>
    <w:rsid w:val="00BA576B"/>
    <w:rsid w:val="00BB001C"/>
    <w:rsid w:val="00BB1130"/>
    <w:rsid w:val="00BB1B4D"/>
    <w:rsid w:val="00BB23F4"/>
    <w:rsid w:val="00BB35C0"/>
    <w:rsid w:val="00BB476A"/>
    <w:rsid w:val="00BB5CE8"/>
    <w:rsid w:val="00BB69A8"/>
    <w:rsid w:val="00BB7411"/>
    <w:rsid w:val="00BC1690"/>
    <w:rsid w:val="00BC2648"/>
    <w:rsid w:val="00BC4950"/>
    <w:rsid w:val="00BC4C43"/>
    <w:rsid w:val="00BC59F3"/>
    <w:rsid w:val="00BC7179"/>
    <w:rsid w:val="00BC7381"/>
    <w:rsid w:val="00BC786F"/>
    <w:rsid w:val="00BD01DC"/>
    <w:rsid w:val="00BD04E8"/>
    <w:rsid w:val="00BD1103"/>
    <w:rsid w:val="00BD126F"/>
    <w:rsid w:val="00BD1284"/>
    <w:rsid w:val="00BD1EB4"/>
    <w:rsid w:val="00BD446B"/>
    <w:rsid w:val="00BD4684"/>
    <w:rsid w:val="00BD530F"/>
    <w:rsid w:val="00BD5C44"/>
    <w:rsid w:val="00BD5D52"/>
    <w:rsid w:val="00BE00B4"/>
    <w:rsid w:val="00BE5179"/>
    <w:rsid w:val="00BF021B"/>
    <w:rsid w:val="00BF3D6E"/>
    <w:rsid w:val="00BF4334"/>
    <w:rsid w:val="00BF4CEC"/>
    <w:rsid w:val="00BF5470"/>
    <w:rsid w:val="00BF76FE"/>
    <w:rsid w:val="00BF7FA4"/>
    <w:rsid w:val="00C00D16"/>
    <w:rsid w:val="00C017E3"/>
    <w:rsid w:val="00C02937"/>
    <w:rsid w:val="00C02E6E"/>
    <w:rsid w:val="00C03FBD"/>
    <w:rsid w:val="00C0430C"/>
    <w:rsid w:val="00C050F2"/>
    <w:rsid w:val="00C10E5A"/>
    <w:rsid w:val="00C11449"/>
    <w:rsid w:val="00C11613"/>
    <w:rsid w:val="00C15EFF"/>
    <w:rsid w:val="00C219C7"/>
    <w:rsid w:val="00C21DA8"/>
    <w:rsid w:val="00C24C91"/>
    <w:rsid w:val="00C254DF"/>
    <w:rsid w:val="00C26C2F"/>
    <w:rsid w:val="00C26D10"/>
    <w:rsid w:val="00C27536"/>
    <w:rsid w:val="00C31356"/>
    <w:rsid w:val="00C315EE"/>
    <w:rsid w:val="00C31631"/>
    <w:rsid w:val="00C32536"/>
    <w:rsid w:val="00C3328F"/>
    <w:rsid w:val="00C333A4"/>
    <w:rsid w:val="00C33647"/>
    <w:rsid w:val="00C34749"/>
    <w:rsid w:val="00C37580"/>
    <w:rsid w:val="00C40738"/>
    <w:rsid w:val="00C40841"/>
    <w:rsid w:val="00C42B66"/>
    <w:rsid w:val="00C44A77"/>
    <w:rsid w:val="00C45B9F"/>
    <w:rsid w:val="00C46D77"/>
    <w:rsid w:val="00C47080"/>
    <w:rsid w:val="00C47107"/>
    <w:rsid w:val="00C472F3"/>
    <w:rsid w:val="00C5127A"/>
    <w:rsid w:val="00C518D7"/>
    <w:rsid w:val="00C5260C"/>
    <w:rsid w:val="00C52836"/>
    <w:rsid w:val="00C5400B"/>
    <w:rsid w:val="00C55C67"/>
    <w:rsid w:val="00C5682A"/>
    <w:rsid w:val="00C57C36"/>
    <w:rsid w:val="00C57C3A"/>
    <w:rsid w:val="00C57F88"/>
    <w:rsid w:val="00C61418"/>
    <w:rsid w:val="00C6162E"/>
    <w:rsid w:val="00C6187C"/>
    <w:rsid w:val="00C62B71"/>
    <w:rsid w:val="00C62EA3"/>
    <w:rsid w:val="00C71F85"/>
    <w:rsid w:val="00C72B3A"/>
    <w:rsid w:val="00C75F96"/>
    <w:rsid w:val="00C76305"/>
    <w:rsid w:val="00C825A0"/>
    <w:rsid w:val="00C83CC9"/>
    <w:rsid w:val="00C85043"/>
    <w:rsid w:val="00C85590"/>
    <w:rsid w:val="00C85C9E"/>
    <w:rsid w:val="00C85E67"/>
    <w:rsid w:val="00C906F4"/>
    <w:rsid w:val="00C91921"/>
    <w:rsid w:val="00C94CF7"/>
    <w:rsid w:val="00C95375"/>
    <w:rsid w:val="00CA30E9"/>
    <w:rsid w:val="00CA4412"/>
    <w:rsid w:val="00CA70CC"/>
    <w:rsid w:val="00CA728E"/>
    <w:rsid w:val="00CA7726"/>
    <w:rsid w:val="00CA7A96"/>
    <w:rsid w:val="00CB1EE3"/>
    <w:rsid w:val="00CB4637"/>
    <w:rsid w:val="00CB5811"/>
    <w:rsid w:val="00CB6593"/>
    <w:rsid w:val="00CC0064"/>
    <w:rsid w:val="00CC18E1"/>
    <w:rsid w:val="00CC2F28"/>
    <w:rsid w:val="00CC34A3"/>
    <w:rsid w:val="00CC4119"/>
    <w:rsid w:val="00CC7644"/>
    <w:rsid w:val="00CC76E9"/>
    <w:rsid w:val="00CD120F"/>
    <w:rsid w:val="00CD15BB"/>
    <w:rsid w:val="00CD1F82"/>
    <w:rsid w:val="00CD3627"/>
    <w:rsid w:val="00CD444B"/>
    <w:rsid w:val="00CD717E"/>
    <w:rsid w:val="00CE0314"/>
    <w:rsid w:val="00CE1D04"/>
    <w:rsid w:val="00CE2600"/>
    <w:rsid w:val="00CE7905"/>
    <w:rsid w:val="00CE7B18"/>
    <w:rsid w:val="00CF0B51"/>
    <w:rsid w:val="00CF0ED3"/>
    <w:rsid w:val="00CF1E64"/>
    <w:rsid w:val="00CF2FBA"/>
    <w:rsid w:val="00CF315B"/>
    <w:rsid w:val="00CF3716"/>
    <w:rsid w:val="00CF3F89"/>
    <w:rsid w:val="00CF5F56"/>
    <w:rsid w:val="00CF7833"/>
    <w:rsid w:val="00CF7D0F"/>
    <w:rsid w:val="00D0045F"/>
    <w:rsid w:val="00D01359"/>
    <w:rsid w:val="00D02B32"/>
    <w:rsid w:val="00D035F4"/>
    <w:rsid w:val="00D05E04"/>
    <w:rsid w:val="00D114BD"/>
    <w:rsid w:val="00D12506"/>
    <w:rsid w:val="00D13FC1"/>
    <w:rsid w:val="00D14C8C"/>
    <w:rsid w:val="00D16013"/>
    <w:rsid w:val="00D16178"/>
    <w:rsid w:val="00D171C1"/>
    <w:rsid w:val="00D17D99"/>
    <w:rsid w:val="00D2072B"/>
    <w:rsid w:val="00D208C0"/>
    <w:rsid w:val="00D22763"/>
    <w:rsid w:val="00D25975"/>
    <w:rsid w:val="00D30DFF"/>
    <w:rsid w:val="00D322D9"/>
    <w:rsid w:val="00D3233E"/>
    <w:rsid w:val="00D34A31"/>
    <w:rsid w:val="00D356F0"/>
    <w:rsid w:val="00D35F46"/>
    <w:rsid w:val="00D36A22"/>
    <w:rsid w:val="00D36F04"/>
    <w:rsid w:val="00D41B83"/>
    <w:rsid w:val="00D420A3"/>
    <w:rsid w:val="00D46F9B"/>
    <w:rsid w:val="00D47176"/>
    <w:rsid w:val="00D47A2A"/>
    <w:rsid w:val="00D51252"/>
    <w:rsid w:val="00D514CE"/>
    <w:rsid w:val="00D51805"/>
    <w:rsid w:val="00D53835"/>
    <w:rsid w:val="00D5438B"/>
    <w:rsid w:val="00D552DD"/>
    <w:rsid w:val="00D55ED4"/>
    <w:rsid w:val="00D57DCB"/>
    <w:rsid w:val="00D6003A"/>
    <w:rsid w:val="00D6069A"/>
    <w:rsid w:val="00D606B9"/>
    <w:rsid w:val="00D626AA"/>
    <w:rsid w:val="00D62B1F"/>
    <w:rsid w:val="00D62B89"/>
    <w:rsid w:val="00D63B9D"/>
    <w:rsid w:val="00D63CC0"/>
    <w:rsid w:val="00D63E2C"/>
    <w:rsid w:val="00D65832"/>
    <w:rsid w:val="00D674DB"/>
    <w:rsid w:val="00D67A35"/>
    <w:rsid w:val="00D67BCF"/>
    <w:rsid w:val="00D704CF"/>
    <w:rsid w:val="00D71719"/>
    <w:rsid w:val="00D72347"/>
    <w:rsid w:val="00D750FD"/>
    <w:rsid w:val="00D765E3"/>
    <w:rsid w:val="00D76B02"/>
    <w:rsid w:val="00D76DD5"/>
    <w:rsid w:val="00D77C17"/>
    <w:rsid w:val="00D77E74"/>
    <w:rsid w:val="00D80000"/>
    <w:rsid w:val="00D80906"/>
    <w:rsid w:val="00D82178"/>
    <w:rsid w:val="00D85815"/>
    <w:rsid w:val="00D85F45"/>
    <w:rsid w:val="00D86A87"/>
    <w:rsid w:val="00D8735A"/>
    <w:rsid w:val="00D87450"/>
    <w:rsid w:val="00D912B4"/>
    <w:rsid w:val="00D9174B"/>
    <w:rsid w:val="00D9689F"/>
    <w:rsid w:val="00DA004D"/>
    <w:rsid w:val="00DA0923"/>
    <w:rsid w:val="00DA0ECD"/>
    <w:rsid w:val="00DA10CC"/>
    <w:rsid w:val="00DA41C9"/>
    <w:rsid w:val="00DA43C2"/>
    <w:rsid w:val="00DA48B1"/>
    <w:rsid w:val="00DA499F"/>
    <w:rsid w:val="00DA508D"/>
    <w:rsid w:val="00DA5177"/>
    <w:rsid w:val="00DA582B"/>
    <w:rsid w:val="00DA5A04"/>
    <w:rsid w:val="00DA791C"/>
    <w:rsid w:val="00DB010A"/>
    <w:rsid w:val="00DB2B16"/>
    <w:rsid w:val="00DB53B5"/>
    <w:rsid w:val="00DB71E4"/>
    <w:rsid w:val="00DB7F1B"/>
    <w:rsid w:val="00DC082C"/>
    <w:rsid w:val="00DC6C94"/>
    <w:rsid w:val="00DD0C03"/>
    <w:rsid w:val="00DD10EA"/>
    <w:rsid w:val="00DD25D2"/>
    <w:rsid w:val="00DD6F08"/>
    <w:rsid w:val="00DD7808"/>
    <w:rsid w:val="00DE0B43"/>
    <w:rsid w:val="00DE1827"/>
    <w:rsid w:val="00DE27C0"/>
    <w:rsid w:val="00DE3A99"/>
    <w:rsid w:val="00DE4F55"/>
    <w:rsid w:val="00DE5836"/>
    <w:rsid w:val="00DE7485"/>
    <w:rsid w:val="00DE7F76"/>
    <w:rsid w:val="00DF1967"/>
    <w:rsid w:val="00DF42F3"/>
    <w:rsid w:val="00DF4CC7"/>
    <w:rsid w:val="00DF5506"/>
    <w:rsid w:val="00DF5616"/>
    <w:rsid w:val="00DF5CA2"/>
    <w:rsid w:val="00DF7376"/>
    <w:rsid w:val="00DF7D0D"/>
    <w:rsid w:val="00E01A5B"/>
    <w:rsid w:val="00E01B62"/>
    <w:rsid w:val="00E02B92"/>
    <w:rsid w:val="00E030CB"/>
    <w:rsid w:val="00E0550F"/>
    <w:rsid w:val="00E072DB"/>
    <w:rsid w:val="00E10216"/>
    <w:rsid w:val="00E102E1"/>
    <w:rsid w:val="00E11DCB"/>
    <w:rsid w:val="00E12581"/>
    <w:rsid w:val="00E13C03"/>
    <w:rsid w:val="00E1418C"/>
    <w:rsid w:val="00E16027"/>
    <w:rsid w:val="00E170F8"/>
    <w:rsid w:val="00E171FE"/>
    <w:rsid w:val="00E21BC5"/>
    <w:rsid w:val="00E21E1D"/>
    <w:rsid w:val="00E24F7B"/>
    <w:rsid w:val="00E25F2C"/>
    <w:rsid w:val="00E2632C"/>
    <w:rsid w:val="00E30143"/>
    <w:rsid w:val="00E31433"/>
    <w:rsid w:val="00E31A95"/>
    <w:rsid w:val="00E326DA"/>
    <w:rsid w:val="00E34258"/>
    <w:rsid w:val="00E3664A"/>
    <w:rsid w:val="00E36E26"/>
    <w:rsid w:val="00E36FA5"/>
    <w:rsid w:val="00E3757C"/>
    <w:rsid w:val="00E41D1C"/>
    <w:rsid w:val="00E42246"/>
    <w:rsid w:val="00E42BA3"/>
    <w:rsid w:val="00E42F92"/>
    <w:rsid w:val="00E4320F"/>
    <w:rsid w:val="00E43A9F"/>
    <w:rsid w:val="00E44B5D"/>
    <w:rsid w:val="00E509EA"/>
    <w:rsid w:val="00E50D72"/>
    <w:rsid w:val="00E50E71"/>
    <w:rsid w:val="00E52808"/>
    <w:rsid w:val="00E537AB"/>
    <w:rsid w:val="00E54238"/>
    <w:rsid w:val="00E551D8"/>
    <w:rsid w:val="00E6021A"/>
    <w:rsid w:val="00E613EA"/>
    <w:rsid w:val="00E636D7"/>
    <w:rsid w:val="00E63D65"/>
    <w:rsid w:val="00E6411A"/>
    <w:rsid w:val="00E64CD7"/>
    <w:rsid w:val="00E65AB8"/>
    <w:rsid w:val="00E661CA"/>
    <w:rsid w:val="00E67230"/>
    <w:rsid w:val="00E67B55"/>
    <w:rsid w:val="00E701BE"/>
    <w:rsid w:val="00E73B5A"/>
    <w:rsid w:val="00E74CC2"/>
    <w:rsid w:val="00E7752F"/>
    <w:rsid w:val="00E778D8"/>
    <w:rsid w:val="00E8026F"/>
    <w:rsid w:val="00E81B70"/>
    <w:rsid w:val="00E834A5"/>
    <w:rsid w:val="00E845A2"/>
    <w:rsid w:val="00E8567F"/>
    <w:rsid w:val="00E8589D"/>
    <w:rsid w:val="00E85CBE"/>
    <w:rsid w:val="00E86196"/>
    <w:rsid w:val="00E86E6A"/>
    <w:rsid w:val="00E873AE"/>
    <w:rsid w:val="00E8791B"/>
    <w:rsid w:val="00E90A97"/>
    <w:rsid w:val="00E90EDF"/>
    <w:rsid w:val="00E90FB4"/>
    <w:rsid w:val="00E93570"/>
    <w:rsid w:val="00E9526C"/>
    <w:rsid w:val="00E96463"/>
    <w:rsid w:val="00E96AF4"/>
    <w:rsid w:val="00E97AA4"/>
    <w:rsid w:val="00EA112B"/>
    <w:rsid w:val="00EA209C"/>
    <w:rsid w:val="00EA2A30"/>
    <w:rsid w:val="00EA3D6B"/>
    <w:rsid w:val="00EA5349"/>
    <w:rsid w:val="00EA695F"/>
    <w:rsid w:val="00EA6CE1"/>
    <w:rsid w:val="00EB0DA0"/>
    <w:rsid w:val="00EB0EFC"/>
    <w:rsid w:val="00EB15DC"/>
    <w:rsid w:val="00EB43A9"/>
    <w:rsid w:val="00EB4513"/>
    <w:rsid w:val="00EC0BA5"/>
    <w:rsid w:val="00EC1F16"/>
    <w:rsid w:val="00EC3F5C"/>
    <w:rsid w:val="00EC41C4"/>
    <w:rsid w:val="00EC44A3"/>
    <w:rsid w:val="00EC51A2"/>
    <w:rsid w:val="00EC77F8"/>
    <w:rsid w:val="00EC7CD5"/>
    <w:rsid w:val="00ED1245"/>
    <w:rsid w:val="00ED49F2"/>
    <w:rsid w:val="00ED6B7A"/>
    <w:rsid w:val="00ED71C5"/>
    <w:rsid w:val="00EE0090"/>
    <w:rsid w:val="00EE1286"/>
    <w:rsid w:val="00EE3096"/>
    <w:rsid w:val="00EE3896"/>
    <w:rsid w:val="00EE3DE1"/>
    <w:rsid w:val="00EE6105"/>
    <w:rsid w:val="00EE6FCA"/>
    <w:rsid w:val="00EE7CFF"/>
    <w:rsid w:val="00EF1286"/>
    <w:rsid w:val="00EF1E4A"/>
    <w:rsid w:val="00EF725D"/>
    <w:rsid w:val="00EF7A3C"/>
    <w:rsid w:val="00EF7BDE"/>
    <w:rsid w:val="00F000CC"/>
    <w:rsid w:val="00F00969"/>
    <w:rsid w:val="00F018A9"/>
    <w:rsid w:val="00F01A68"/>
    <w:rsid w:val="00F01E1E"/>
    <w:rsid w:val="00F0229E"/>
    <w:rsid w:val="00F03EC2"/>
    <w:rsid w:val="00F04956"/>
    <w:rsid w:val="00F053BA"/>
    <w:rsid w:val="00F05CDD"/>
    <w:rsid w:val="00F06100"/>
    <w:rsid w:val="00F06DD8"/>
    <w:rsid w:val="00F06FFB"/>
    <w:rsid w:val="00F07098"/>
    <w:rsid w:val="00F070A0"/>
    <w:rsid w:val="00F0745E"/>
    <w:rsid w:val="00F07A50"/>
    <w:rsid w:val="00F07B36"/>
    <w:rsid w:val="00F10EB5"/>
    <w:rsid w:val="00F11BA0"/>
    <w:rsid w:val="00F1235B"/>
    <w:rsid w:val="00F13A57"/>
    <w:rsid w:val="00F14A08"/>
    <w:rsid w:val="00F152AB"/>
    <w:rsid w:val="00F166B0"/>
    <w:rsid w:val="00F20BA4"/>
    <w:rsid w:val="00F232BA"/>
    <w:rsid w:val="00F25384"/>
    <w:rsid w:val="00F2620E"/>
    <w:rsid w:val="00F2733E"/>
    <w:rsid w:val="00F27836"/>
    <w:rsid w:val="00F32D28"/>
    <w:rsid w:val="00F3331F"/>
    <w:rsid w:val="00F335D9"/>
    <w:rsid w:val="00F35ED2"/>
    <w:rsid w:val="00F3643C"/>
    <w:rsid w:val="00F41845"/>
    <w:rsid w:val="00F41A2D"/>
    <w:rsid w:val="00F428BE"/>
    <w:rsid w:val="00F42FD0"/>
    <w:rsid w:val="00F430CA"/>
    <w:rsid w:val="00F4467A"/>
    <w:rsid w:val="00F449E9"/>
    <w:rsid w:val="00F47410"/>
    <w:rsid w:val="00F47F1C"/>
    <w:rsid w:val="00F503CA"/>
    <w:rsid w:val="00F53939"/>
    <w:rsid w:val="00F53DD8"/>
    <w:rsid w:val="00F558AA"/>
    <w:rsid w:val="00F56701"/>
    <w:rsid w:val="00F56B64"/>
    <w:rsid w:val="00F56DB8"/>
    <w:rsid w:val="00F601AD"/>
    <w:rsid w:val="00F60A10"/>
    <w:rsid w:val="00F61252"/>
    <w:rsid w:val="00F622AD"/>
    <w:rsid w:val="00F627A5"/>
    <w:rsid w:val="00F636A4"/>
    <w:rsid w:val="00F63F4E"/>
    <w:rsid w:val="00F64C80"/>
    <w:rsid w:val="00F64FBB"/>
    <w:rsid w:val="00F664CC"/>
    <w:rsid w:val="00F66D7C"/>
    <w:rsid w:val="00F67188"/>
    <w:rsid w:val="00F70D1C"/>
    <w:rsid w:val="00F71786"/>
    <w:rsid w:val="00F717A9"/>
    <w:rsid w:val="00F71C99"/>
    <w:rsid w:val="00F71F41"/>
    <w:rsid w:val="00F72B4D"/>
    <w:rsid w:val="00F73573"/>
    <w:rsid w:val="00F73B05"/>
    <w:rsid w:val="00F74D70"/>
    <w:rsid w:val="00F75DD5"/>
    <w:rsid w:val="00F764FA"/>
    <w:rsid w:val="00F771D4"/>
    <w:rsid w:val="00F77296"/>
    <w:rsid w:val="00F772A0"/>
    <w:rsid w:val="00F776F9"/>
    <w:rsid w:val="00F80A47"/>
    <w:rsid w:val="00F80F89"/>
    <w:rsid w:val="00F81F87"/>
    <w:rsid w:val="00F8238B"/>
    <w:rsid w:val="00F82746"/>
    <w:rsid w:val="00F833ED"/>
    <w:rsid w:val="00F83BD1"/>
    <w:rsid w:val="00F856EC"/>
    <w:rsid w:val="00F864E8"/>
    <w:rsid w:val="00F908BB"/>
    <w:rsid w:val="00F90D67"/>
    <w:rsid w:val="00F9206C"/>
    <w:rsid w:val="00F92394"/>
    <w:rsid w:val="00F92F0B"/>
    <w:rsid w:val="00F955B8"/>
    <w:rsid w:val="00F95622"/>
    <w:rsid w:val="00F95FF6"/>
    <w:rsid w:val="00F97413"/>
    <w:rsid w:val="00F97DCE"/>
    <w:rsid w:val="00FA1692"/>
    <w:rsid w:val="00FA3721"/>
    <w:rsid w:val="00FA6E7C"/>
    <w:rsid w:val="00FA7C0A"/>
    <w:rsid w:val="00FB0BBC"/>
    <w:rsid w:val="00FB2B9D"/>
    <w:rsid w:val="00FB48E9"/>
    <w:rsid w:val="00FB5AC1"/>
    <w:rsid w:val="00FC4237"/>
    <w:rsid w:val="00FC565D"/>
    <w:rsid w:val="00FC7288"/>
    <w:rsid w:val="00FC78D9"/>
    <w:rsid w:val="00FD3805"/>
    <w:rsid w:val="00FD537E"/>
    <w:rsid w:val="00FD5EBF"/>
    <w:rsid w:val="00FD6446"/>
    <w:rsid w:val="00FD724D"/>
    <w:rsid w:val="00FD7A0A"/>
    <w:rsid w:val="00FE5491"/>
    <w:rsid w:val="00FE6536"/>
    <w:rsid w:val="00FE67A4"/>
    <w:rsid w:val="00FE683F"/>
    <w:rsid w:val="00FE7AA5"/>
    <w:rsid w:val="00FF0A56"/>
    <w:rsid w:val="00FF18A8"/>
    <w:rsid w:val="00FF1B49"/>
    <w:rsid w:val="00FF3CB6"/>
    <w:rsid w:val="00FF3D21"/>
    <w:rsid w:val="00FF4D41"/>
    <w:rsid w:val="00FF4D98"/>
    <w:rsid w:val="00FF6EF3"/>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DB1834"/>
  <w14:defaultImageDpi w14:val="330"/>
  <w15:docId w15:val="{A8453027-2D23-4C51-9D90-8FE18F0D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5" w:qFormat="1"/>
    <w:lsdException w:name="heading 2" w:uiPriority="0" w:qFormat="1"/>
    <w:lsdException w:name="heading 3" w:uiPriority="0" w:qFormat="1"/>
    <w:lsdException w:name="heading 4" w:semiHidden="1" w:uiPriority="0"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1C69DF"/>
    <w:pPr>
      <w:spacing w:before="240" w:after="120" w:line="240" w:lineRule="atLeast"/>
    </w:pPr>
    <w:rPr>
      <w:sz w:val="20"/>
    </w:rPr>
  </w:style>
  <w:style w:type="paragraph" w:styleId="Heading1">
    <w:name w:val="heading 1"/>
    <w:next w:val="BodyText"/>
    <w:link w:val="Heading1Char"/>
    <w:uiPriority w:val="5"/>
    <w:qFormat/>
    <w:rsid w:val="00AC57BD"/>
    <w:pPr>
      <w:keepNext/>
      <w:keepLines/>
      <w:numPr>
        <w:numId w:val="44"/>
      </w:numPr>
      <w:tabs>
        <w:tab w:val="left" w:pos="0"/>
      </w:tabs>
      <w:spacing w:after="460" w:line="240" w:lineRule="auto"/>
      <w:outlineLvl w:val="0"/>
    </w:pPr>
    <w:rPr>
      <w:rFonts w:asciiTheme="majorHAnsi" w:eastAsiaTheme="majorEastAsia" w:hAnsiTheme="majorHAnsi" w:cstheme="majorBidi"/>
      <w:b/>
      <w:bCs/>
      <w:sz w:val="40"/>
      <w:szCs w:val="40"/>
    </w:rPr>
  </w:style>
  <w:style w:type="paragraph" w:styleId="Heading2">
    <w:name w:val="heading 2"/>
    <w:basedOn w:val="Heading1"/>
    <w:next w:val="BodyText"/>
    <w:link w:val="Heading2Char"/>
    <w:qFormat/>
    <w:rsid w:val="00F56701"/>
    <w:pPr>
      <w:numPr>
        <w:ilvl w:val="1"/>
      </w:numPr>
      <w:spacing w:before="480" w:after="240"/>
      <w:outlineLvl w:val="1"/>
    </w:pPr>
    <w:rPr>
      <w:b w:val="0"/>
      <w:bCs w:val="0"/>
      <w:color w:val="1C4483" w:themeColor="accent1"/>
      <w:spacing w:val="2"/>
      <w:sz w:val="34"/>
      <w:szCs w:val="32"/>
    </w:rPr>
  </w:style>
  <w:style w:type="paragraph" w:styleId="Heading3">
    <w:name w:val="heading 3"/>
    <w:basedOn w:val="Heading2"/>
    <w:next w:val="BodyText"/>
    <w:link w:val="Heading3Char"/>
    <w:qFormat/>
    <w:rsid w:val="00E613EA"/>
    <w:pPr>
      <w:numPr>
        <w:ilvl w:val="2"/>
      </w:numPr>
      <w:tabs>
        <w:tab w:val="clear" w:pos="0"/>
      </w:tabs>
      <w:outlineLvl w:val="2"/>
    </w:pPr>
    <w:rPr>
      <w:bCs/>
      <w:sz w:val="30"/>
      <w:szCs w:val="28"/>
    </w:rPr>
  </w:style>
  <w:style w:type="paragraph" w:styleId="Heading4">
    <w:name w:val="heading 4"/>
    <w:basedOn w:val="Heading3"/>
    <w:next w:val="BodyText"/>
    <w:link w:val="Heading4Char"/>
    <w:qFormat/>
    <w:rsid w:val="007237CD"/>
    <w:pPr>
      <w:numPr>
        <w:ilvl w:val="3"/>
      </w:numPr>
      <w:spacing w:before="360"/>
      <w:outlineLvl w:val="3"/>
    </w:pPr>
    <w:rPr>
      <w:bCs w:val="0"/>
      <w:iCs/>
      <w:color w:val="00A2E2" w:themeColor="accent2"/>
      <w:sz w:val="26"/>
    </w:rPr>
  </w:style>
  <w:style w:type="paragraph" w:styleId="Heading5">
    <w:name w:val="heading 5"/>
    <w:basedOn w:val="Heading4"/>
    <w:next w:val="BodyText"/>
    <w:link w:val="Heading5Char"/>
    <w:uiPriority w:val="6"/>
    <w:qFormat/>
    <w:rsid w:val="00DF5CA2"/>
    <w:pPr>
      <w:numPr>
        <w:ilvl w:val="4"/>
      </w:numPr>
      <w:outlineLvl w:val="4"/>
    </w:pPr>
    <w:rPr>
      <w:rFonts w:cstheme="minorHAnsi"/>
      <w:color w:val="1C4483" w:themeColor="accent1"/>
      <w:szCs w:val="24"/>
    </w:rPr>
  </w:style>
  <w:style w:type="paragraph" w:styleId="Heading6">
    <w:name w:val="heading 6"/>
    <w:basedOn w:val="Heading5"/>
    <w:next w:val="BodyText"/>
    <w:link w:val="Heading6Char"/>
    <w:uiPriority w:val="6"/>
    <w:qFormat/>
    <w:rsid w:val="00D626AA"/>
    <w:pPr>
      <w:numPr>
        <w:ilvl w:val="5"/>
      </w:numPr>
      <w:outlineLvl w:val="5"/>
    </w:pPr>
    <w:rPr>
      <w:iCs w:val="0"/>
      <w:color w:val="00A2E2" w:themeColor="accent2"/>
      <w:sz w:val="24"/>
      <w:szCs w:val="22"/>
    </w:rPr>
  </w:style>
  <w:style w:type="paragraph" w:styleId="Heading7">
    <w:name w:val="heading 7"/>
    <w:basedOn w:val="Heading1"/>
    <w:next w:val="BodyText"/>
    <w:link w:val="Heading7Char"/>
    <w:uiPriority w:val="6"/>
    <w:qFormat/>
    <w:rsid w:val="008B3A17"/>
    <w:pPr>
      <w:numPr>
        <w:numId w:val="0"/>
      </w:numPr>
      <w:tabs>
        <w:tab w:val="left" w:pos="2552"/>
      </w:tabs>
      <w:spacing w:before="360" w:after="240"/>
      <w:outlineLvl w:val="6"/>
    </w:pPr>
    <w:rPr>
      <w:iCs/>
      <w:color w:val="25282A" w:themeColor="text2"/>
      <w:sz w:val="20"/>
    </w:rPr>
  </w:style>
  <w:style w:type="paragraph" w:styleId="Heading8">
    <w:name w:val="heading 8"/>
    <w:basedOn w:val="Heading7"/>
    <w:next w:val="BodyText"/>
    <w:link w:val="Heading8Char"/>
    <w:uiPriority w:val="10"/>
    <w:semiHidden/>
    <w:qFormat/>
    <w:rsid w:val="008C2524"/>
    <w:pPr>
      <w:numPr>
        <w:ilvl w:val="4"/>
      </w:numPr>
      <w:tabs>
        <w:tab w:val="clear" w:pos="2552"/>
      </w:tabs>
      <w:spacing w:before="480"/>
      <w:outlineLvl w:val="7"/>
    </w:pPr>
    <w:rPr>
      <w:sz w:val="36"/>
      <w:szCs w:val="20"/>
    </w:rPr>
  </w:style>
  <w:style w:type="paragraph" w:styleId="Heading9">
    <w:name w:val="heading 9"/>
    <w:basedOn w:val="Heading8"/>
    <w:next w:val="BodyText"/>
    <w:link w:val="Heading9Char"/>
    <w:uiPriority w:val="10"/>
    <w:semiHidden/>
    <w:qFormat/>
    <w:rsid w:val="0029614E"/>
    <w:pPr>
      <w:numPr>
        <w:ilvl w:val="0"/>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3A4E9A"/>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5"/>
    <w:rsid w:val="00F56701"/>
    <w:rPr>
      <w:rFonts w:asciiTheme="majorHAnsi" w:eastAsiaTheme="majorEastAsia" w:hAnsiTheme="majorHAnsi" w:cstheme="majorBidi"/>
      <w:color w:val="1C4483" w:themeColor="accent1"/>
      <w:spacing w:val="2"/>
      <w:sz w:val="34"/>
      <w:szCs w:val="32"/>
    </w:rPr>
  </w:style>
  <w:style w:type="character" w:customStyle="1" w:styleId="Heading3Char">
    <w:name w:val="Heading 3 Char"/>
    <w:basedOn w:val="DefaultParagraphFont"/>
    <w:link w:val="Heading3"/>
    <w:rsid w:val="00E613EA"/>
    <w:rPr>
      <w:rFonts w:asciiTheme="majorHAnsi" w:eastAsiaTheme="majorEastAsia" w:hAnsiTheme="majorHAnsi" w:cstheme="majorBidi"/>
      <w:bCs/>
      <w:color w:val="1C4483" w:themeColor="accent1"/>
      <w:spacing w:val="2"/>
      <w:sz w:val="30"/>
      <w:szCs w:val="28"/>
    </w:rPr>
  </w:style>
  <w:style w:type="paragraph" w:styleId="Caption">
    <w:name w:val="caption"/>
    <w:basedOn w:val="Normal"/>
    <w:next w:val="Object"/>
    <w:qFormat/>
    <w:rsid w:val="00BF4CEC"/>
    <w:pPr>
      <w:keepNext/>
      <w:keepLines/>
      <w:spacing w:before="360" w:after="240" w:line="240" w:lineRule="auto"/>
      <w:ind w:left="1418" w:hanging="1418"/>
    </w:pPr>
    <w:rPr>
      <w:bCs/>
      <w:i/>
      <w:color w:val="25282A" w:themeColor="text2"/>
      <w:szCs w:val="20"/>
    </w:rPr>
  </w:style>
  <w:style w:type="paragraph" w:styleId="BodyText">
    <w:name w:val="Body Text"/>
    <w:basedOn w:val="Normal"/>
    <w:link w:val="BodyTextChar"/>
    <w:qFormat/>
    <w:rsid w:val="00C31631"/>
    <w:pPr>
      <w:keepLines/>
    </w:pPr>
  </w:style>
  <w:style w:type="character" w:customStyle="1" w:styleId="BodyTextChar">
    <w:name w:val="Body Text Char"/>
    <w:basedOn w:val="DefaultParagraphFont"/>
    <w:link w:val="BodyText"/>
    <w:rsid w:val="00C31631"/>
    <w:rPr>
      <w:sz w:val="20"/>
    </w:rPr>
  </w:style>
  <w:style w:type="paragraph" w:styleId="TOC1">
    <w:name w:val="toc 1"/>
    <w:basedOn w:val="Normal"/>
    <w:next w:val="BodyText"/>
    <w:uiPriority w:val="39"/>
    <w:rsid w:val="00AC57BD"/>
    <w:pPr>
      <w:keepLines/>
      <w:tabs>
        <w:tab w:val="left" w:pos="851"/>
        <w:tab w:val="right" w:leader="dot" w:pos="9044"/>
      </w:tabs>
      <w:spacing w:after="240"/>
      <w:ind w:left="851" w:right="1701" w:hanging="851"/>
    </w:pPr>
    <w:rPr>
      <w:noProof/>
      <w:color w:val="1C4483" w:themeColor="accent1"/>
      <w:sz w:val="22"/>
    </w:rPr>
  </w:style>
  <w:style w:type="paragraph" w:styleId="TOC2">
    <w:name w:val="toc 2"/>
    <w:basedOn w:val="TOC1"/>
    <w:next w:val="BodyText"/>
    <w:uiPriority w:val="39"/>
    <w:rsid w:val="00AC57BD"/>
    <w:pPr>
      <w:spacing w:before="120" w:after="60"/>
    </w:pPr>
    <w:rPr>
      <w:sz w:val="20"/>
    </w:rPr>
  </w:style>
  <w:style w:type="paragraph" w:styleId="TOC3">
    <w:name w:val="toc 3"/>
    <w:basedOn w:val="TOC2"/>
    <w:next w:val="BodyText"/>
    <w:uiPriority w:val="39"/>
    <w:rsid w:val="00AC57BD"/>
    <w:pPr>
      <w:tabs>
        <w:tab w:val="clear" w:pos="851"/>
        <w:tab w:val="left" w:pos="1985"/>
      </w:tabs>
      <w:spacing w:before="60"/>
      <w:ind w:left="1985" w:hanging="1134"/>
    </w:pPr>
    <w:rPr>
      <w:color w:val="auto"/>
    </w:rPr>
  </w:style>
  <w:style w:type="paragraph" w:styleId="TOC4">
    <w:name w:val="toc 4"/>
    <w:basedOn w:val="TOC1"/>
    <w:next w:val="BodyText"/>
    <w:uiPriority w:val="39"/>
    <w:rsid w:val="00AC57BD"/>
    <w:pPr>
      <w:tabs>
        <w:tab w:val="left" w:pos="1985"/>
      </w:tabs>
      <w:spacing w:before="20" w:after="20"/>
      <w:ind w:left="1985" w:hanging="1134"/>
    </w:pPr>
    <w:rPr>
      <w:color w:val="808080" w:themeColor="background1" w:themeShade="80"/>
    </w:rPr>
  </w:style>
  <w:style w:type="paragraph" w:styleId="TOC5">
    <w:name w:val="toc 5"/>
    <w:basedOn w:val="TOC2"/>
    <w:next w:val="BodyText"/>
    <w:uiPriority w:val="39"/>
    <w:rsid w:val="00AC57BD"/>
    <w:pPr>
      <w:tabs>
        <w:tab w:val="clear" w:pos="851"/>
      </w:tabs>
      <w:spacing w:before="240" w:after="120"/>
      <w:ind w:left="0" w:firstLine="0"/>
    </w:pPr>
    <w:rPr>
      <w:sz w:val="22"/>
    </w:rPr>
  </w:style>
  <w:style w:type="paragraph" w:styleId="TOC6">
    <w:name w:val="toc 6"/>
    <w:basedOn w:val="TOC3"/>
    <w:next w:val="BodyText"/>
    <w:uiPriority w:val="39"/>
    <w:rsid w:val="00AC57BD"/>
    <w:pPr>
      <w:tabs>
        <w:tab w:val="clear" w:pos="1985"/>
      </w:tabs>
    </w:pPr>
  </w:style>
  <w:style w:type="character" w:customStyle="1" w:styleId="Heading4Char">
    <w:name w:val="Heading 4 Char"/>
    <w:basedOn w:val="DefaultParagraphFont"/>
    <w:link w:val="Heading4"/>
    <w:uiPriority w:val="6"/>
    <w:rsid w:val="007237CD"/>
    <w:rPr>
      <w:rFonts w:asciiTheme="majorHAnsi" w:eastAsiaTheme="majorEastAsia" w:hAnsiTheme="majorHAnsi" w:cstheme="majorBidi"/>
      <w:iCs/>
      <w:color w:val="00A2E2" w:themeColor="accent2"/>
      <w:spacing w:val="2"/>
      <w:sz w:val="26"/>
      <w:szCs w:val="28"/>
    </w:rPr>
  </w:style>
  <w:style w:type="paragraph" w:styleId="TOC7">
    <w:name w:val="toc 7"/>
    <w:basedOn w:val="TOC1"/>
    <w:next w:val="BodyText"/>
    <w:uiPriority w:val="39"/>
    <w:rsid w:val="00AC57BD"/>
    <w:pPr>
      <w:tabs>
        <w:tab w:val="clear" w:pos="851"/>
      </w:tabs>
      <w:spacing w:before="40" w:after="20"/>
      <w:ind w:left="1985" w:firstLine="0"/>
    </w:pPr>
  </w:style>
  <w:style w:type="character" w:customStyle="1" w:styleId="Heading5Char">
    <w:name w:val="Heading 5 Char"/>
    <w:basedOn w:val="DefaultParagraphFont"/>
    <w:link w:val="Heading5"/>
    <w:uiPriority w:val="6"/>
    <w:rsid w:val="00DF5CA2"/>
    <w:rPr>
      <w:rFonts w:asciiTheme="majorHAnsi" w:eastAsiaTheme="majorEastAsia" w:hAnsiTheme="majorHAnsi" w:cstheme="minorHAnsi"/>
      <w:iCs/>
      <w:color w:val="1C4483" w:themeColor="accent1"/>
      <w:spacing w:val="2"/>
      <w:sz w:val="28"/>
      <w:szCs w:val="24"/>
    </w:rPr>
  </w:style>
  <w:style w:type="paragraph" w:styleId="TOC8">
    <w:name w:val="toc 8"/>
    <w:basedOn w:val="TOC2"/>
    <w:next w:val="BodyText"/>
    <w:uiPriority w:val="39"/>
    <w:rsid w:val="00AC57BD"/>
    <w:pPr>
      <w:tabs>
        <w:tab w:val="clear" w:pos="851"/>
      </w:tabs>
      <w:spacing w:before="20" w:after="20"/>
      <w:ind w:left="2836"/>
    </w:pPr>
    <w:rPr>
      <w:color w:val="808080" w:themeColor="background1" w:themeShade="80"/>
    </w:rPr>
  </w:style>
  <w:style w:type="character" w:customStyle="1" w:styleId="Heading6Char">
    <w:name w:val="Heading 6 Char"/>
    <w:basedOn w:val="DefaultParagraphFont"/>
    <w:link w:val="Heading6"/>
    <w:uiPriority w:val="6"/>
    <w:rsid w:val="00D626AA"/>
    <w:rPr>
      <w:rFonts w:asciiTheme="majorHAnsi" w:eastAsiaTheme="majorEastAsia" w:hAnsiTheme="majorHAnsi" w:cstheme="minorHAnsi"/>
      <w:color w:val="00A2E2" w:themeColor="accent2"/>
      <w:spacing w:val="2"/>
      <w:sz w:val="24"/>
    </w:rPr>
  </w:style>
  <w:style w:type="paragraph" w:styleId="TOC9">
    <w:name w:val="toc 9"/>
    <w:basedOn w:val="TOC3"/>
    <w:next w:val="BodyText"/>
    <w:uiPriority w:val="39"/>
    <w:rsid w:val="00AC57BD"/>
  </w:style>
  <w:style w:type="paragraph" w:styleId="TOCHeading">
    <w:name w:val="TOC Heading"/>
    <w:basedOn w:val="Heading1NoNumber"/>
    <w:next w:val="BodyText"/>
    <w:uiPriority w:val="39"/>
    <w:qFormat/>
    <w:rsid w:val="00AC57BD"/>
    <w:pPr>
      <w:outlineLvl w:val="9"/>
    </w:pPr>
  </w:style>
  <w:style w:type="paragraph" w:customStyle="1" w:styleId="BodyIndent2">
    <w:name w:val="Body Indent 2"/>
    <w:basedOn w:val="BodyBullet2"/>
    <w:uiPriority w:val="3"/>
    <w:qFormat/>
    <w:rsid w:val="00D47176"/>
    <w:pPr>
      <w:numPr>
        <w:ilvl w:val="0"/>
        <w:numId w:val="0"/>
      </w:numPr>
      <w:ind w:left="680"/>
    </w:pPr>
  </w:style>
  <w:style w:type="paragraph" w:customStyle="1" w:styleId="BodyIndent3">
    <w:name w:val="Body Indent 3"/>
    <w:basedOn w:val="BodyBullet3"/>
    <w:uiPriority w:val="3"/>
    <w:qFormat/>
    <w:rsid w:val="00D47176"/>
    <w:pPr>
      <w:numPr>
        <w:ilvl w:val="0"/>
        <w:numId w:val="0"/>
      </w:numPr>
      <w:ind w:left="1021"/>
    </w:pPr>
  </w:style>
  <w:style w:type="character" w:styleId="EndnoteReference">
    <w:name w:val="endnote reference"/>
    <w:basedOn w:val="DefaultParagraphFont"/>
    <w:uiPriority w:val="99"/>
    <w:qFormat/>
    <w:rsid w:val="000F3515"/>
    <w:rPr>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35ED2"/>
    <w:pPr>
      <w:keepNext w:val="0"/>
      <w:keepLines w:val="0"/>
      <w:spacing w:before="120" w:after="360"/>
      <w:ind w:left="0" w:firstLine="0"/>
    </w:pPr>
    <w:rPr>
      <w:color w:val="808080" w:themeColor="background1" w:themeShade="80"/>
      <w:sz w:val="18"/>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2"/>
    <w:qFormat/>
    <w:rsid w:val="006953AF"/>
    <w:pPr>
      <w:numPr>
        <w:numId w:val="25"/>
      </w:numPr>
      <w:spacing w:before="60" w:after="60" w:line="240" w:lineRule="auto"/>
    </w:pPr>
    <w:rPr>
      <w:sz w:val="18"/>
      <w:szCs w:val="20"/>
    </w:rPr>
  </w:style>
  <w:style w:type="paragraph" w:styleId="EndnoteText">
    <w:name w:val="endnote text"/>
    <w:basedOn w:val="Normal"/>
    <w:link w:val="EndnoteTextChar"/>
    <w:uiPriority w:val="99"/>
    <w:qFormat/>
    <w:rsid w:val="00230CF8"/>
    <w:pPr>
      <w:spacing w:before="60" w:after="60" w:line="240" w:lineRule="auto"/>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99"/>
    <w:rsid w:val="00230CF8"/>
    <w:rPr>
      <w:sz w:val="18"/>
      <w:szCs w:val="18"/>
    </w:rPr>
  </w:style>
  <w:style w:type="paragraph" w:styleId="Footer">
    <w:name w:val="footer"/>
    <w:basedOn w:val="Normal"/>
    <w:link w:val="FooterChar"/>
    <w:uiPriority w:val="99"/>
    <w:qFormat/>
    <w:rsid w:val="00BD5D52"/>
    <w:pPr>
      <w:spacing w:before="720" w:line="240" w:lineRule="auto"/>
    </w:pPr>
    <w:rPr>
      <w:rFonts w:asciiTheme="majorHAnsi" w:hAnsiTheme="majorHAnsi" w:cstheme="minorHAnsi"/>
      <w:noProof/>
      <w:color w:val="1C4483" w:themeColor="accent1"/>
      <w:sz w:val="18"/>
      <w:szCs w:val="18"/>
    </w:rPr>
  </w:style>
  <w:style w:type="character" w:customStyle="1" w:styleId="FooterChar">
    <w:name w:val="Footer Char"/>
    <w:basedOn w:val="DefaultParagraphFont"/>
    <w:link w:val="Footer"/>
    <w:uiPriority w:val="99"/>
    <w:rsid w:val="00BD5D52"/>
    <w:rPr>
      <w:rFonts w:asciiTheme="majorHAnsi" w:hAnsiTheme="majorHAnsi" w:cstheme="minorHAnsi"/>
      <w:noProof/>
      <w:color w:val="1C4483" w:themeColor="accent1"/>
      <w:sz w:val="18"/>
      <w:szCs w:val="18"/>
    </w:rPr>
  </w:style>
  <w:style w:type="character" w:styleId="FootnoteReference">
    <w:name w:val="footnote reference"/>
    <w:basedOn w:val="DefaultParagraphFont"/>
    <w:uiPriority w:val="99"/>
    <w:qFormat/>
    <w:rsid w:val="00147E56"/>
    <w:rPr>
      <w:vertAlign w:val="superscript"/>
    </w:rPr>
  </w:style>
  <w:style w:type="paragraph" w:styleId="FootnoteText">
    <w:name w:val="footnote text"/>
    <w:basedOn w:val="Normal"/>
    <w:link w:val="FootnoteTextChar"/>
    <w:uiPriority w:val="99"/>
    <w:qFormat/>
    <w:rsid w:val="00230CF8"/>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230CF8"/>
    <w:rPr>
      <w:sz w:val="18"/>
      <w:szCs w:val="18"/>
    </w:rPr>
  </w:style>
  <w:style w:type="paragraph" w:styleId="Header">
    <w:name w:val="header"/>
    <w:basedOn w:val="Normal"/>
    <w:link w:val="HeaderChar"/>
    <w:uiPriority w:val="99"/>
    <w:qFormat/>
    <w:rsid w:val="0014525F"/>
    <w:pPr>
      <w:spacing w:before="0" w:after="680" w:line="240" w:lineRule="auto"/>
    </w:pPr>
    <w:rPr>
      <w:rFonts w:ascii="Century Gothic" w:hAnsi="Century Gothic"/>
      <w:color w:val="1C4483" w:themeColor="accent1"/>
      <w:sz w:val="24"/>
      <w:szCs w:val="18"/>
    </w:rPr>
  </w:style>
  <w:style w:type="character" w:customStyle="1" w:styleId="HeaderChar">
    <w:name w:val="Header Char"/>
    <w:basedOn w:val="DefaultParagraphFont"/>
    <w:link w:val="Header"/>
    <w:uiPriority w:val="99"/>
    <w:rsid w:val="0014525F"/>
    <w:rPr>
      <w:rFonts w:ascii="Century Gothic" w:hAnsi="Century Gothic"/>
      <w:color w:val="1C4483" w:themeColor="accent1"/>
      <w:sz w:val="24"/>
      <w:szCs w:val="18"/>
    </w:rPr>
  </w:style>
  <w:style w:type="character" w:styleId="Hyperlink">
    <w:name w:val="Hyperlink"/>
    <w:basedOn w:val="DefaultParagraphFont"/>
    <w:uiPriority w:val="99"/>
    <w:qFormat/>
    <w:rsid w:val="006D745A"/>
    <w:rPr>
      <w:color w:val="7F7F7F" w:themeColor="text1" w:themeTint="80"/>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147E56"/>
    <w:pPr>
      <w:ind w:left="566" w:hanging="283"/>
      <w:contextualSpacing/>
    </w:pPr>
  </w:style>
  <w:style w:type="paragraph" w:styleId="TableofFigures">
    <w:name w:val="table of figures"/>
    <w:basedOn w:val="TOC1"/>
    <w:next w:val="BodyText"/>
    <w:uiPriority w:val="99"/>
    <w:rsid w:val="00390A09"/>
    <w:pPr>
      <w:spacing w:before="60"/>
      <w:ind w:left="1134" w:hanging="1134"/>
    </w:pPr>
    <w:rPr>
      <w:color w:val="000000" w:themeColor="text1"/>
    </w:rPr>
  </w:style>
  <w:style w:type="character" w:customStyle="1" w:styleId="Heading7Char">
    <w:name w:val="Heading 7 Char"/>
    <w:basedOn w:val="DefaultParagraphFont"/>
    <w:link w:val="Heading7"/>
    <w:uiPriority w:val="6"/>
    <w:rsid w:val="008B3A17"/>
    <w:rPr>
      <w:rFonts w:asciiTheme="majorHAnsi" w:eastAsiaTheme="majorEastAsia" w:hAnsiTheme="majorHAnsi" w:cstheme="majorBidi"/>
      <w:b/>
      <w:bCs/>
      <w:iCs/>
      <w:color w:val="25282A" w:themeColor="text2"/>
      <w:sz w:val="20"/>
      <w:szCs w:val="40"/>
    </w:rPr>
  </w:style>
  <w:style w:type="paragraph" w:customStyle="1" w:styleId="TableBullet1">
    <w:name w:val="Table Bullet 1"/>
    <w:basedOn w:val="TableText"/>
    <w:uiPriority w:val="7"/>
    <w:qFormat/>
    <w:rsid w:val="00C219C7"/>
    <w:pPr>
      <w:numPr>
        <w:numId w:val="16"/>
      </w:numPr>
    </w:pPr>
  </w:style>
  <w:style w:type="paragraph" w:customStyle="1" w:styleId="TableBullet2">
    <w:name w:val="Table Bullet 2"/>
    <w:basedOn w:val="TableBullet1"/>
    <w:uiPriority w:val="7"/>
    <w:qFormat/>
    <w:rsid w:val="00C219C7"/>
    <w:pPr>
      <w:numPr>
        <w:ilvl w:val="1"/>
      </w:numPr>
    </w:pPr>
  </w:style>
  <w:style w:type="paragraph" w:customStyle="1" w:styleId="BodyNumbering1">
    <w:name w:val="Body Numbering 1"/>
    <w:basedOn w:val="BodyBullet1"/>
    <w:uiPriority w:val="9"/>
    <w:qFormat/>
    <w:rsid w:val="00320D25"/>
    <w:pPr>
      <w:numPr>
        <w:ilvl w:val="6"/>
        <w:numId w:val="27"/>
      </w:numPr>
    </w:pPr>
  </w:style>
  <w:style w:type="paragraph" w:customStyle="1" w:styleId="BodyNumbering2">
    <w:name w:val="Body Numbering 2"/>
    <w:basedOn w:val="BodyNumbering1"/>
    <w:uiPriority w:val="9"/>
    <w:qFormat/>
    <w:rsid w:val="00E43A9F"/>
    <w:pPr>
      <w:numPr>
        <w:ilvl w:val="7"/>
      </w:numPr>
    </w:pPr>
  </w:style>
  <w:style w:type="paragraph" w:customStyle="1" w:styleId="BodyBullet1">
    <w:name w:val="Body Bullet 1"/>
    <w:basedOn w:val="BodyText"/>
    <w:uiPriority w:val="1"/>
    <w:qFormat/>
    <w:rsid w:val="004F4EF2"/>
    <w:pPr>
      <w:numPr>
        <w:numId w:val="12"/>
      </w:numPr>
      <w:spacing w:before="120"/>
    </w:pPr>
  </w:style>
  <w:style w:type="paragraph" w:customStyle="1" w:styleId="BodyBullet2">
    <w:name w:val="Body Bullet 2"/>
    <w:basedOn w:val="BodyBullet1"/>
    <w:uiPriority w:val="1"/>
    <w:qFormat/>
    <w:rsid w:val="004F4EF2"/>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
    <w:qFormat/>
    <w:rsid w:val="00E43A9F"/>
    <w:pPr>
      <w:numPr>
        <w:ilvl w:val="8"/>
      </w:numPr>
    </w:pPr>
  </w:style>
  <w:style w:type="paragraph" w:customStyle="1" w:styleId="BodyIndent1">
    <w:name w:val="Body Indent 1"/>
    <w:basedOn w:val="BodyBullet1"/>
    <w:uiPriority w:val="8"/>
    <w:qFormat/>
    <w:rsid w:val="0088661B"/>
    <w:pPr>
      <w:numPr>
        <w:numId w:val="0"/>
      </w:numPr>
      <w:ind w:left="340"/>
    </w:pPr>
  </w:style>
  <w:style w:type="paragraph" w:customStyle="1" w:styleId="TableBullet3">
    <w:name w:val="Table Bullet 3"/>
    <w:basedOn w:val="TableBullet2"/>
    <w:uiPriority w:val="7"/>
    <w:qFormat/>
    <w:rsid w:val="00C219C7"/>
    <w:pPr>
      <w:numPr>
        <w:ilvl w:val="2"/>
      </w:numPr>
    </w:pPr>
  </w:style>
  <w:style w:type="paragraph" w:customStyle="1" w:styleId="TableNumbering1">
    <w:name w:val="Table Numbering 1"/>
    <w:basedOn w:val="TableBullet1"/>
    <w:uiPriority w:val="8"/>
    <w:qFormat/>
    <w:rsid w:val="005C44B4"/>
    <w:pPr>
      <w:numPr>
        <w:numId w:val="31"/>
      </w:numPr>
    </w:pPr>
  </w:style>
  <w:style w:type="paragraph" w:customStyle="1" w:styleId="TableNumbering2">
    <w:name w:val="Table Numbering 2"/>
    <w:basedOn w:val="TableNumbering1"/>
    <w:uiPriority w:val="8"/>
    <w:qFormat/>
    <w:rsid w:val="005C44B4"/>
    <w:pPr>
      <w:numPr>
        <w:ilvl w:val="1"/>
      </w:numPr>
    </w:pPr>
  </w:style>
  <w:style w:type="paragraph" w:customStyle="1" w:styleId="TableNumbering3">
    <w:name w:val="Table Numbering 3"/>
    <w:basedOn w:val="TableNumbering2"/>
    <w:uiPriority w:val="8"/>
    <w:qFormat/>
    <w:rsid w:val="005C44B4"/>
    <w:pPr>
      <w:numPr>
        <w:ilvl w:val="2"/>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A55B55"/>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color w:val="FFFFFF" w:themeColor="background1"/>
      </w:rPr>
      <w:tblPr/>
      <w:trPr>
        <w:cantSplit/>
        <w:tblHeader/>
      </w:tr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single" w:sz="4" w:space="0" w:color="FFFFFF" w:themeColor="background1"/>
          <w:tl2br w:val="nil"/>
          <w:tr2bl w:val="nil"/>
        </w:tcBorders>
        <w:shd w:val="clear" w:color="auto" w:fill="1C4483" w:themeFill="accent1"/>
        <w:vAlign w:val="bottom"/>
      </w:tcPr>
    </w:tblStylePr>
    <w:tblStylePr w:type="lastRow">
      <w:pPr>
        <w:keepLines/>
        <w:widowControl/>
        <w:wordWrap/>
        <w:jc w:val="left"/>
      </w:pPr>
      <w:rPr>
        <w:b/>
      </w:rPr>
      <w:tblPr/>
      <w:tcPr>
        <w:tcBorders>
          <w:top w:val="single" w:sz="4" w:space="0" w:color="1C4483" w:themeColor="accent1"/>
          <w:left w:val="nil"/>
          <w:bottom w:val="single" w:sz="4" w:space="0" w:color="1C4483" w:themeColor="accent1"/>
          <w:right w:val="nil"/>
          <w:insideH w:val="single" w:sz="4" w:space="0" w:color="1C4483" w:themeColor="accent1"/>
          <w:insideV w:val="single" w:sz="4" w:space="0" w:color="8B9499" w:themeColor="text2" w:themeTint="80"/>
          <w:tl2br w:val="nil"/>
          <w:tr2bl w:val="nil"/>
        </w:tcBorders>
        <w:shd w:val="clear" w:color="auto" w:fill="C5C9CC" w:themeFill="text2" w:themeFillTint="40"/>
      </w:tcPr>
    </w:tblStylePr>
    <w:tblStylePr w:type="firstCol">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E7E9EA" w:themeFill="text2" w:themeFillTint="1A"/>
      </w:tcPr>
    </w:tblStylePr>
  </w:style>
  <w:style w:type="paragraph" w:customStyle="1" w:styleId="BodyTextSingleSpacing">
    <w:name w:val="Body Text Single Spacing"/>
    <w:basedOn w:val="BodyText"/>
    <w:uiPriority w:val="14"/>
    <w:qFormat/>
    <w:rsid w:val="00521453"/>
    <w:pPr>
      <w:spacing w:before="0" w:after="0"/>
    </w:pPr>
  </w:style>
  <w:style w:type="table" w:customStyle="1" w:styleId="RowMainTableStyle">
    <w:name w:val="Row Main Table Style"/>
    <w:basedOn w:val="TableNormal"/>
    <w:uiPriority w:val="99"/>
    <w:rsid w:val="00AE1AAA"/>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i w:val="0"/>
        <w:color w:val="1C4483" w:themeColor="accent1"/>
      </w:rPr>
      <w:tblPr/>
      <w:trPr>
        <w:tblHeader/>
      </w:trPr>
      <w:tcPr>
        <w:tcBorders>
          <w:top w:val="nil"/>
          <w:left w:val="nil"/>
          <w:bottom w:val="single" w:sz="12" w:space="0" w:color="1C4483"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shd w:val="clear" w:color="auto" w:fill="E7E9EA" w:themeFill="text2" w:themeFillTint="1A"/>
      </w:tcPr>
    </w:tblStylePr>
    <w:tblStylePr w:type="firstCol">
      <w:pPr>
        <w:keepLines w:val="0"/>
        <w:widowControl/>
        <w:wordWrap/>
      </w:pPr>
      <w:rPr>
        <w:b w:val="0"/>
        <w:i w:val="0"/>
        <w:color w:val="1C4483" w:themeColor="accent1"/>
      </w:rPr>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C5C9CC" w:themeFill="text2" w:themeFillTint="40"/>
      </w:tcPr>
    </w:tblStylePr>
  </w:style>
  <w:style w:type="character" w:customStyle="1" w:styleId="CharacterStyle-BaseColour">
    <w:name w:val="Character Style - Base Colour"/>
    <w:basedOn w:val="DefaultParagraphFont"/>
    <w:uiPriority w:val="99"/>
    <w:qFormat/>
    <w:rsid w:val="001F4DC3"/>
    <w:rPr>
      <w:color w:val="1C4483" w:themeColor="accent1"/>
    </w:rPr>
  </w:style>
  <w:style w:type="character" w:customStyle="1" w:styleId="CharacterStyle-BrightColour">
    <w:name w:val="Character Style - Bright Colour"/>
    <w:uiPriority w:val="5"/>
    <w:qFormat/>
    <w:rsid w:val="001F4DC3"/>
    <w:rPr>
      <w:color w:val="00A2E2" w:themeColor="accent2"/>
    </w:rPr>
  </w:style>
  <w:style w:type="paragraph" w:customStyle="1" w:styleId="CoverTitle">
    <w:name w:val="Cover Title"/>
    <w:basedOn w:val="Normal"/>
    <w:next w:val="CoverSubtitle"/>
    <w:uiPriority w:val="99"/>
    <w:qFormat/>
    <w:rsid w:val="000A5911"/>
    <w:pPr>
      <w:spacing w:before="2040"/>
    </w:pPr>
    <w:rPr>
      <w:rFonts w:asciiTheme="majorHAnsi" w:hAnsiTheme="majorHAnsi"/>
      <w:color w:val="25282A" w:themeColor="text2"/>
      <w:sz w:val="96"/>
    </w:rPr>
  </w:style>
  <w:style w:type="paragraph" w:customStyle="1" w:styleId="CoverSubtitle">
    <w:name w:val="Cover Subtitle"/>
    <w:basedOn w:val="Normal"/>
    <w:next w:val="CoverDate"/>
    <w:uiPriority w:val="99"/>
    <w:qFormat/>
    <w:rsid w:val="000A5911"/>
    <w:pPr>
      <w:spacing w:after="480"/>
    </w:pPr>
    <w:rPr>
      <w:rFonts w:asciiTheme="majorHAnsi" w:hAnsiTheme="majorHAnsi"/>
      <w:color w:val="1C4483" w:themeColor="accent1"/>
      <w:sz w:val="72"/>
      <w:szCs w:val="76"/>
    </w:rPr>
  </w:style>
  <w:style w:type="paragraph" w:customStyle="1" w:styleId="CoverDate">
    <w:name w:val="Cover Date"/>
    <w:basedOn w:val="Normal"/>
    <w:next w:val="BodyText"/>
    <w:uiPriority w:val="99"/>
    <w:qFormat/>
    <w:rsid w:val="006032EB"/>
    <w:rPr>
      <w:rFonts w:asciiTheme="majorHAnsi" w:hAnsiTheme="majorHAnsi"/>
      <w:color w:val="1C4483" w:themeColor="accent1"/>
      <w:sz w:val="48"/>
      <w:szCs w:val="48"/>
    </w:rPr>
  </w:style>
  <w:style w:type="paragraph" w:customStyle="1" w:styleId="Spacer">
    <w:name w:val="Spacer"/>
    <w:basedOn w:val="BodyTextSingleSpacing"/>
    <w:uiPriority w:val="9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customStyle="1" w:styleId="Heading1NoNumber">
    <w:name w:val="Heading 1 No Number"/>
    <w:basedOn w:val="Heading1"/>
    <w:next w:val="BodyText"/>
    <w:uiPriority w:val="10"/>
    <w:qFormat/>
    <w:rsid w:val="00292FEF"/>
    <w:pPr>
      <w:numPr>
        <w:numId w:val="0"/>
      </w:numPr>
      <w:spacing w:before="480" w:after="360"/>
    </w:pPr>
    <w:rPr>
      <w:b w:val="0"/>
      <w:color w:val="1C4483" w:themeColor="accent1"/>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paragraph" w:customStyle="1" w:styleId="CitationText">
    <w:name w:val="Citation Text"/>
    <w:basedOn w:val="BodyText"/>
    <w:uiPriority w:val="99"/>
    <w:qFormat/>
    <w:rsid w:val="007608D2"/>
    <w:pPr>
      <w:spacing w:before="360" w:after="360"/>
    </w:pPr>
    <w:rPr>
      <w:color w:val="00A2E2" w:themeColor="accent2"/>
      <w:sz w:val="24"/>
    </w:rPr>
  </w:style>
  <w:style w:type="character" w:customStyle="1" w:styleId="Heading8Char">
    <w:name w:val="Heading 8 Char"/>
    <w:basedOn w:val="DefaultParagraphFont"/>
    <w:link w:val="Heading8"/>
    <w:uiPriority w:val="10"/>
    <w:semiHidden/>
    <w:rsid w:val="00F56701"/>
    <w:rPr>
      <w:rFonts w:asciiTheme="majorHAnsi" w:eastAsiaTheme="majorEastAsia" w:hAnsiTheme="majorHAnsi" w:cstheme="majorBidi"/>
      <w:b/>
      <w:bCs/>
      <w:iCs/>
      <w:color w:val="25282A" w:themeColor="text2"/>
      <w:sz w:val="36"/>
      <w:szCs w:val="20"/>
    </w:rPr>
  </w:style>
  <w:style w:type="character" w:customStyle="1" w:styleId="Heading9Char">
    <w:name w:val="Heading 9 Char"/>
    <w:basedOn w:val="DefaultParagraphFont"/>
    <w:link w:val="Heading9"/>
    <w:uiPriority w:val="10"/>
    <w:semiHidden/>
    <w:rsid w:val="00F56701"/>
    <w:rPr>
      <w:rFonts w:asciiTheme="majorHAnsi" w:eastAsiaTheme="majorEastAsia" w:hAnsiTheme="majorHAnsi" w:cstheme="majorBidi"/>
      <w:b/>
      <w:bCs/>
      <w:color w:val="25282A" w:themeColor="text2"/>
      <w:sz w:val="32"/>
      <w:szCs w:val="20"/>
    </w:rPr>
  </w:style>
  <w:style w:type="paragraph" w:customStyle="1" w:styleId="Object">
    <w:name w:val="Object"/>
    <w:basedOn w:val="Normal"/>
    <w:next w:val="BodyText"/>
    <w:uiPriority w:val="99"/>
    <w:qFormat/>
    <w:rsid w:val="00E42F92"/>
    <w:pPr>
      <w:spacing w:after="360" w:line="240" w:lineRule="auto"/>
    </w:pPr>
    <w:rPr>
      <w:color w:val="000000" w:themeColor="text1"/>
    </w:rPr>
  </w:style>
  <w:style w:type="character" w:styleId="PlaceholderText">
    <w:name w:val="Placeholder Text"/>
    <w:basedOn w:val="DefaultParagraphFont"/>
    <w:uiPriority w:val="99"/>
    <w:rsid w:val="006032EB"/>
    <w:rPr>
      <w:vanish w:val="0"/>
      <w:color w:val="7F7F7F" w:themeColor="text1" w:themeTint="80"/>
    </w:rPr>
  </w:style>
  <w:style w:type="paragraph" w:styleId="Quote">
    <w:name w:val="Quote"/>
    <w:basedOn w:val="BodyText"/>
    <w:next w:val="BodyText"/>
    <w:link w:val="QuoteChar"/>
    <w:uiPriority w:val="99"/>
    <w:qFormat/>
    <w:rsid w:val="001B4DF5"/>
    <w:pPr>
      <w:pBdr>
        <w:left w:val="single" w:sz="12" w:space="16" w:color="00A2E2" w:themeColor="accent2"/>
      </w:pBdr>
      <w:spacing w:after="240" w:line="360" w:lineRule="atLeast"/>
      <w:ind w:left="680" w:right="680"/>
    </w:pPr>
    <w:rPr>
      <w:rFonts w:asciiTheme="majorHAnsi" w:hAnsiTheme="majorHAnsi"/>
      <w:i/>
      <w:iCs/>
      <w:color w:val="00A2E2" w:themeColor="accent2"/>
      <w:sz w:val="18"/>
    </w:rPr>
  </w:style>
  <w:style w:type="character" w:customStyle="1" w:styleId="QuoteChar">
    <w:name w:val="Quote Char"/>
    <w:basedOn w:val="DefaultParagraphFont"/>
    <w:link w:val="Quote"/>
    <w:uiPriority w:val="99"/>
    <w:rsid w:val="001B4DF5"/>
    <w:rPr>
      <w:rFonts w:asciiTheme="majorHAnsi" w:hAnsiTheme="majorHAnsi"/>
      <w:i/>
      <w:iCs/>
      <w:color w:val="00A2E2" w:themeColor="accent2"/>
      <w:sz w:val="18"/>
    </w:rPr>
  </w:style>
  <w:style w:type="paragraph" w:customStyle="1" w:styleId="PageNo">
    <w:name w:val="Page No"/>
    <w:basedOn w:val="Normal"/>
    <w:link w:val="PageNoChar"/>
    <w:uiPriority w:val="99"/>
    <w:qFormat/>
    <w:rsid w:val="00277ABE"/>
    <w:pPr>
      <w:spacing w:before="860" w:line="240" w:lineRule="auto"/>
      <w:jc w:val="right"/>
    </w:pPr>
    <w:rPr>
      <w:color w:val="1C4483" w:themeColor="accent1"/>
      <w:sz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277ABE"/>
    <w:rPr>
      <w:rFonts w:asciiTheme="majorHAnsi" w:hAnsiTheme="majorHAnsi" w:cstheme="minorHAnsi"/>
      <w:noProof/>
      <w:color w:val="1C4483" w:themeColor="accent1"/>
      <w:sz w:val="18"/>
      <w:szCs w:val="18"/>
    </w:rPr>
  </w:style>
  <w:style w:type="character" w:customStyle="1" w:styleId="Footerbarspacer">
    <w:name w:val="Footer bar spacer"/>
    <w:basedOn w:val="DefaultParagraphFont"/>
    <w:uiPriority w:val="1"/>
    <w:qFormat/>
    <w:rsid w:val="004F4EF2"/>
    <w:rPr>
      <w:color w:val="808080" w:themeColor="background1" w:themeShade="80"/>
      <w:spacing w:val="20"/>
    </w:rPr>
  </w:style>
  <w:style w:type="character" w:customStyle="1" w:styleId="Highlight">
    <w:name w:val="_Highlight"/>
    <w:basedOn w:val="DefaultParagraphFont"/>
    <w:uiPriority w:val="4"/>
    <w:qFormat/>
    <w:rsid w:val="00962971"/>
    <w:rPr>
      <w:bdr w:val="none" w:sz="0" w:space="0" w:color="auto"/>
      <w:shd w:val="clear" w:color="auto" w:fill="FFFF00"/>
    </w:rPr>
  </w:style>
  <w:style w:type="paragraph" w:customStyle="1" w:styleId="Heading1ChapterNumber">
    <w:name w:val="Heading 1 Chapter Number"/>
    <w:basedOn w:val="Heading1"/>
    <w:next w:val="Heading1"/>
    <w:uiPriority w:val="99"/>
    <w:qFormat/>
    <w:rsid w:val="00AC57BD"/>
    <w:pPr>
      <w:numPr>
        <w:numId w:val="0"/>
      </w:numPr>
      <w:tabs>
        <w:tab w:val="clear" w:pos="0"/>
      </w:tabs>
      <w:spacing w:before="600" w:after="0"/>
    </w:pPr>
    <w:rPr>
      <w:b w:val="0"/>
    </w:rPr>
  </w:style>
  <w:style w:type="paragraph" w:customStyle="1" w:styleId="Chapterimage">
    <w:name w:val="Chapter image"/>
    <w:basedOn w:val="BodyText"/>
    <w:uiPriority w:val="99"/>
    <w:qFormat/>
    <w:rsid w:val="00E613EA"/>
    <w:pPr>
      <w:spacing w:before="0" w:after="2880" w:line="240" w:lineRule="auto"/>
    </w:pPr>
    <w:rPr>
      <w:noProof/>
    </w:rPr>
  </w:style>
  <w:style w:type="character" w:customStyle="1" w:styleId="Removedirectformatting">
    <w:name w:val="_ Remove direct formatting"/>
    <w:basedOn w:val="Highlight"/>
    <w:uiPriority w:val="5"/>
    <w:qFormat/>
    <w:rsid w:val="00962971"/>
    <w:rPr>
      <w:bdr w:val="none" w:sz="0" w:space="0" w:color="auto"/>
      <w:shd w:val="clear" w:color="auto" w:fill="auto"/>
    </w:rPr>
  </w:style>
  <w:style w:type="character" w:customStyle="1" w:styleId="Underline">
    <w:name w:val="_ Underline"/>
    <w:basedOn w:val="DefaultParagraphFont"/>
    <w:uiPriority w:val="9"/>
    <w:qFormat/>
    <w:rsid w:val="00962971"/>
    <w:rPr>
      <w:u w:val="single"/>
    </w:rPr>
  </w:style>
  <w:style w:type="character" w:customStyle="1" w:styleId="Bold">
    <w:name w:val="_Bold"/>
    <w:basedOn w:val="DefaultParagraphFont"/>
    <w:uiPriority w:val="4"/>
    <w:qFormat/>
    <w:rsid w:val="00962971"/>
    <w:rPr>
      <w:b/>
    </w:rPr>
  </w:style>
  <w:style w:type="character" w:customStyle="1" w:styleId="HighlightBlue">
    <w:name w:val="_Highlight_Blue"/>
    <w:basedOn w:val="DefaultParagraphFont"/>
    <w:uiPriority w:val="8"/>
    <w:qFormat/>
    <w:rsid w:val="00962971"/>
    <w:rPr>
      <w:bdr w:val="none" w:sz="0" w:space="0" w:color="auto"/>
      <w:shd w:val="clear" w:color="auto" w:fill="CCFFFF"/>
    </w:rPr>
  </w:style>
  <w:style w:type="character" w:customStyle="1" w:styleId="Italics">
    <w:name w:val="_Italics"/>
    <w:basedOn w:val="DefaultParagraphFont"/>
    <w:uiPriority w:val="4"/>
    <w:qFormat/>
    <w:rsid w:val="00962971"/>
    <w:rPr>
      <w:b w:val="0"/>
      <w:i/>
    </w:rPr>
  </w:style>
  <w:style w:type="character" w:customStyle="1" w:styleId="Strikethrough">
    <w:name w:val="_Strikethrough"/>
    <w:basedOn w:val="DefaultParagraphFont"/>
    <w:uiPriority w:val="9"/>
    <w:qFormat/>
    <w:rsid w:val="00962971"/>
    <w:rPr>
      <w:strike/>
      <w:dstrike w:val="0"/>
    </w:rPr>
  </w:style>
  <w:style w:type="character" w:customStyle="1" w:styleId="Subscript">
    <w:name w:val="_Subscript"/>
    <w:basedOn w:val="DefaultParagraphFont"/>
    <w:uiPriority w:val="9"/>
    <w:qFormat/>
    <w:rsid w:val="00962971"/>
    <w:rPr>
      <w:vertAlign w:val="subscript"/>
    </w:rPr>
  </w:style>
  <w:style w:type="character" w:customStyle="1" w:styleId="Superscript">
    <w:name w:val="_Superscript"/>
    <w:basedOn w:val="Subscript"/>
    <w:uiPriority w:val="9"/>
    <w:qFormat/>
    <w:rsid w:val="00962971"/>
    <w:rPr>
      <w:vertAlign w:val="superscript"/>
    </w:rPr>
  </w:style>
  <w:style w:type="character" w:customStyle="1" w:styleId="TextBlue">
    <w:name w:val="_Text Blue"/>
    <w:basedOn w:val="DefaultParagraphFont"/>
    <w:uiPriority w:val="8"/>
    <w:qFormat/>
    <w:rsid w:val="001F4DC3"/>
    <w:rPr>
      <w:color w:val="1C4483" w:themeColor="accent1"/>
    </w:rPr>
  </w:style>
  <w:style w:type="character" w:customStyle="1" w:styleId="TextGreen">
    <w:name w:val="_Text Green"/>
    <w:uiPriority w:val="9"/>
    <w:qFormat/>
    <w:rsid w:val="001F4DC3"/>
    <w:rPr>
      <w:color w:val="00A67F" w:themeColor="accent4"/>
    </w:rPr>
  </w:style>
  <w:style w:type="character" w:customStyle="1" w:styleId="TextRed">
    <w:name w:val="_Text Red"/>
    <w:basedOn w:val="DefaultParagraphFont"/>
    <w:uiPriority w:val="9"/>
    <w:qFormat/>
    <w:rsid w:val="001F4DC3"/>
    <w:rPr>
      <w:color w:val="C8102E" w:themeColor="accent3"/>
    </w:rPr>
  </w:style>
  <w:style w:type="paragraph" w:customStyle="1" w:styleId="AppendixHeading1">
    <w:name w:val="Appendix Heading 1"/>
    <w:basedOn w:val="Heading1"/>
    <w:next w:val="BodyText"/>
    <w:uiPriority w:val="6"/>
    <w:qFormat/>
    <w:rsid w:val="00EE1286"/>
    <w:pPr>
      <w:pageBreakBefore/>
      <w:numPr>
        <w:numId w:val="35"/>
      </w:numPr>
      <w:spacing w:after="120"/>
      <w:ind w:left="2268" w:hanging="2268"/>
    </w:pPr>
    <w:rPr>
      <w:b w:val="0"/>
      <w:color w:val="1C4483" w:themeColor="accent1"/>
      <w:sz w:val="32"/>
    </w:rPr>
  </w:style>
  <w:style w:type="paragraph" w:customStyle="1" w:styleId="AppendixHeading2">
    <w:name w:val="Appendix Heading 2"/>
    <w:basedOn w:val="Heading2"/>
    <w:next w:val="BodyText"/>
    <w:uiPriority w:val="6"/>
    <w:qFormat/>
    <w:rsid w:val="00EE1286"/>
    <w:pPr>
      <w:numPr>
        <w:numId w:val="35"/>
      </w:numPr>
      <w:spacing w:before="240" w:after="120"/>
    </w:pPr>
    <w:rPr>
      <w:spacing w:val="0"/>
      <w:sz w:val="28"/>
    </w:rPr>
  </w:style>
  <w:style w:type="paragraph" w:customStyle="1" w:styleId="AppendixHeading3">
    <w:name w:val="Appendix Heading 3"/>
    <w:basedOn w:val="Heading3"/>
    <w:next w:val="BodyText"/>
    <w:uiPriority w:val="8"/>
    <w:qFormat/>
    <w:rsid w:val="00EE1286"/>
    <w:pPr>
      <w:numPr>
        <w:numId w:val="35"/>
      </w:numPr>
      <w:spacing w:before="240" w:after="120"/>
    </w:pPr>
    <w:rPr>
      <w:color w:val="00A2E2" w:themeColor="accent2"/>
      <w:spacing w:val="0"/>
      <w:sz w:val="26"/>
    </w:rPr>
  </w:style>
  <w:style w:type="paragraph" w:customStyle="1" w:styleId="Heading2NoNumber">
    <w:name w:val="Heading 2 No Number"/>
    <w:basedOn w:val="Heading2"/>
    <w:next w:val="BodyText"/>
    <w:uiPriority w:val="99"/>
    <w:qFormat/>
    <w:rsid w:val="00776CEC"/>
    <w:pPr>
      <w:numPr>
        <w:ilvl w:val="0"/>
        <w:numId w:val="0"/>
      </w:numPr>
    </w:pPr>
  </w:style>
  <w:style w:type="paragraph" w:customStyle="1" w:styleId="Heading3NoNumber">
    <w:name w:val="Heading 3 No Number"/>
    <w:basedOn w:val="Heading3"/>
    <w:next w:val="BodyText"/>
    <w:uiPriority w:val="99"/>
    <w:qFormat/>
    <w:rsid w:val="00776CEC"/>
    <w:pPr>
      <w:numPr>
        <w:ilvl w:val="0"/>
        <w:numId w:val="0"/>
      </w:numPr>
    </w:pPr>
  </w:style>
  <w:style w:type="paragraph" w:customStyle="1" w:styleId="TableHeadingWhiteCentred">
    <w:name w:val="Table Heading White Centred"/>
    <w:basedOn w:val="TableHeadingWhiteFont"/>
    <w:uiPriority w:val="99"/>
    <w:qFormat/>
    <w:rsid w:val="0075205E"/>
    <w:pPr>
      <w:jc w:val="center"/>
    </w:pPr>
  </w:style>
  <w:style w:type="paragraph" w:customStyle="1" w:styleId="CalloutHeader">
    <w:name w:val="Callout Header"/>
    <w:basedOn w:val="TableText"/>
    <w:uiPriority w:val="9"/>
    <w:qFormat/>
    <w:rsid w:val="001F4DC3"/>
    <w:pPr>
      <w:numPr>
        <w:numId w:val="0"/>
      </w:numPr>
      <w:spacing w:before="120"/>
    </w:pPr>
    <w:rPr>
      <w:rFonts w:asciiTheme="majorHAnsi" w:hAnsiTheme="majorHAnsi"/>
      <w:color w:val="1C4483" w:themeColor="accent1"/>
      <w:sz w:val="22"/>
    </w:rPr>
  </w:style>
  <w:style w:type="paragraph" w:customStyle="1" w:styleId="HeaderEven">
    <w:name w:val="Header Even"/>
    <w:basedOn w:val="Header"/>
    <w:uiPriority w:val="99"/>
    <w:qFormat/>
    <w:rsid w:val="0014525F"/>
    <w:pPr>
      <w:pBdr>
        <w:bottom w:val="single" w:sz="4" w:space="31" w:color="1C4483" w:themeColor="accent1"/>
      </w:pBdr>
      <w:spacing w:after="600"/>
    </w:pPr>
  </w:style>
  <w:style w:type="paragraph" w:styleId="BodyTextIndent2">
    <w:name w:val="Body Text Indent 2"/>
    <w:basedOn w:val="Normal"/>
    <w:link w:val="BodyTextIndent2Char"/>
    <w:uiPriority w:val="99"/>
    <w:semiHidden/>
    <w:unhideWhenUsed/>
    <w:rsid w:val="00547D6A"/>
    <w:pPr>
      <w:spacing w:line="480" w:lineRule="auto"/>
      <w:ind w:left="283"/>
    </w:pPr>
  </w:style>
  <w:style w:type="character" w:customStyle="1" w:styleId="BodyTextIndent2Char">
    <w:name w:val="Body Text Indent 2 Char"/>
    <w:basedOn w:val="DefaultParagraphFont"/>
    <w:link w:val="BodyTextIndent2"/>
    <w:uiPriority w:val="99"/>
    <w:semiHidden/>
    <w:rsid w:val="00547D6A"/>
    <w:rPr>
      <w:sz w:val="20"/>
    </w:rPr>
  </w:style>
  <w:style w:type="character" w:styleId="CommentReference">
    <w:name w:val="annotation reference"/>
    <w:basedOn w:val="DefaultParagraphFont"/>
    <w:uiPriority w:val="99"/>
    <w:semiHidden/>
    <w:unhideWhenUsed/>
    <w:rsid w:val="00CF7833"/>
    <w:rPr>
      <w:sz w:val="16"/>
      <w:szCs w:val="16"/>
    </w:rPr>
  </w:style>
  <w:style w:type="paragraph" w:styleId="CommentText">
    <w:name w:val="annotation text"/>
    <w:basedOn w:val="Normal"/>
    <w:link w:val="CommentTextChar"/>
    <w:uiPriority w:val="99"/>
    <w:semiHidden/>
    <w:unhideWhenUsed/>
    <w:rsid w:val="00CF7833"/>
    <w:pPr>
      <w:spacing w:line="240" w:lineRule="auto"/>
    </w:pPr>
    <w:rPr>
      <w:szCs w:val="20"/>
    </w:rPr>
  </w:style>
  <w:style w:type="character" w:customStyle="1" w:styleId="CommentTextChar">
    <w:name w:val="Comment Text Char"/>
    <w:basedOn w:val="DefaultParagraphFont"/>
    <w:link w:val="CommentText"/>
    <w:uiPriority w:val="99"/>
    <w:semiHidden/>
    <w:rsid w:val="00CF7833"/>
    <w:rPr>
      <w:sz w:val="20"/>
      <w:szCs w:val="20"/>
    </w:rPr>
  </w:style>
  <w:style w:type="paragraph" w:styleId="CommentSubject">
    <w:name w:val="annotation subject"/>
    <w:basedOn w:val="CommentText"/>
    <w:next w:val="CommentText"/>
    <w:link w:val="CommentSubjectChar"/>
    <w:uiPriority w:val="99"/>
    <w:semiHidden/>
    <w:unhideWhenUsed/>
    <w:rsid w:val="00CF7833"/>
    <w:rPr>
      <w:b/>
      <w:bCs/>
    </w:rPr>
  </w:style>
  <w:style w:type="character" w:customStyle="1" w:styleId="CommentSubjectChar">
    <w:name w:val="Comment Subject Char"/>
    <w:basedOn w:val="CommentTextChar"/>
    <w:link w:val="CommentSubject"/>
    <w:uiPriority w:val="99"/>
    <w:semiHidden/>
    <w:rsid w:val="00CF7833"/>
    <w:rPr>
      <w:b/>
      <w:bCs/>
      <w:sz w:val="20"/>
      <w:szCs w:val="20"/>
    </w:rPr>
  </w:style>
  <w:style w:type="paragraph" w:styleId="NormalWeb">
    <w:name w:val="Normal (Web)"/>
    <w:basedOn w:val="Normal"/>
    <w:uiPriority w:val="99"/>
    <w:semiHidden/>
    <w:unhideWhenUsed/>
    <w:rsid w:val="0036244F"/>
    <w:pPr>
      <w:spacing w:before="100" w:beforeAutospacing="1" w:after="100" w:afterAutospacing="1" w:line="240" w:lineRule="auto"/>
    </w:pPr>
    <w:rPr>
      <w:rFonts w:ascii="Calibri" w:hAnsi="Calibri" w:cs="Calibr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4203">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732390942">
      <w:bodyDiv w:val="1"/>
      <w:marLeft w:val="0"/>
      <w:marRight w:val="0"/>
      <w:marTop w:val="0"/>
      <w:marBottom w:val="0"/>
      <w:divBdr>
        <w:top w:val="none" w:sz="0" w:space="0" w:color="auto"/>
        <w:left w:val="none" w:sz="0" w:space="0" w:color="auto"/>
        <w:bottom w:val="none" w:sz="0" w:space="0" w:color="auto"/>
        <w:right w:val="none" w:sz="0" w:space="0" w:color="auto"/>
      </w:divBdr>
    </w:div>
    <w:div w:id="1127120277">
      <w:bodyDiv w:val="1"/>
      <w:marLeft w:val="0"/>
      <w:marRight w:val="0"/>
      <w:marTop w:val="0"/>
      <w:marBottom w:val="0"/>
      <w:divBdr>
        <w:top w:val="none" w:sz="0" w:space="0" w:color="auto"/>
        <w:left w:val="none" w:sz="0" w:space="0" w:color="auto"/>
        <w:bottom w:val="none" w:sz="0" w:space="0" w:color="auto"/>
        <w:right w:val="none" w:sz="0" w:space="0" w:color="auto"/>
      </w:divBdr>
    </w:div>
    <w:div w:id="1265922640">
      <w:bodyDiv w:val="1"/>
      <w:marLeft w:val="0"/>
      <w:marRight w:val="0"/>
      <w:marTop w:val="0"/>
      <w:marBottom w:val="0"/>
      <w:divBdr>
        <w:top w:val="none" w:sz="0" w:space="0" w:color="auto"/>
        <w:left w:val="none" w:sz="0" w:space="0" w:color="auto"/>
        <w:bottom w:val="none" w:sz="0" w:space="0" w:color="auto"/>
        <w:right w:val="none" w:sz="0" w:space="0" w:color="auto"/>
      </w:divBdr>
    </w:div>
    <w:div w:id="1682662609">
      <w:bodyDiv w:val="1"/>
      <w:marLeft w:val="0"/>
      <w:marRight w:val="0"/>
      <w:marTop w:val="0"/>
      <w:marBottom w:val="0"/>
      <w:divBdr>
        <w:top w:val="none" w:sz="0" w:space="0" w:color="auto"/>
        <w:left w:val="none" w:sz="0" w:space="0" w:color="auto"/>
        <w:bottom w:val="none" w:sz="0" w:space="0" w:color="auto"/>
        <w:right w:val="none" w:sz="0" w:space="0" w:color="auto"/>
      </w:divBdr>
    </w:div>
    <w:div w:id="1771047566">
      <w:bodyDiv w:val="1"/>
      <w:marLeft w:val="0"/>
      <w:marRight w:val="0"/>
      <w:marTop w:val="0"/>
      <w:marBottom w:val="0"/>
      <w:divBdr>
        <w:top w:val="none" w:sz="0" w:space="0" w:color="auto"/>
        <w:left w:val="none" w:sz="0" w:space="0" w:color="auto"/>
        <w:bottom w:val="none" w:sz="0" w:space="0" w:color="auto"/>
        <w:right w:val="none" w:sz="0" w:space="0" w:color="auto"/>
      </w:divBdr>
    </w:div>
    <w:div w:id="1781678049">
      <w:bodyDiv w:val="1"/>
      <w:marLeft w:val="0"/>
      <w:marRight w:val="0"/>
      <w:marTop w:val="0"/>
      <w:marBottom w:val="0"/>
      <w:divBdr>
        <w:top w:val="none" w:sz="0" w:space="0" w:color="auto"/>
        <w:left w:val="none" w:sz="0" w:space="0" w:color="auto"/>
        <w:bottom w:val="none" w:sz="0" w:space="0" w:color="auto"/>
        <w:right w:val="none" w:sz="0" w:space="0" w:color="auto"/>
      </w:divBdr>
      <w:divsChild>
        <w:div w:id="1720201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jpg"/><Relationship Id="rId22" Type="http://schemas.openxmlformats.org/officeDocument/2006/relationships/footer" Target="footer3.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WORM Colours">
      <a:dk1>
        <a:sysClr val="windowText" lastClr="000000"/>
      </a:dk1>
      <a:lt1>
        <a:sysClr val="window" lastClr="FFFFFF"/>
      </a:lt1>
      <a:dk2>
        <a:srgbClr val="25282A"/>
      </a:dk2>
      <a:lt2>
        <a:srgbClr val="E7E6E6"/>
      </a:lt2>
      <a:accent1>
        <a:srgbClr val="1C4483"/>
      </a:accent1>
      <a:accent2>
        <a:srgbClr val="00A2E2"/>
      </a:accent2>
      <a:accent3>
        <a:srgbClr val="C8102E"/>
      </a:accent3>
      <a:accent4>
        <a:srgbClr val="00A67F"/>
      </a:accent4>
      <a:accent5>
        <a:srgbClr val="F36C42"/>
      </a:accent5>
      <a:accent6>
        <a:srgbClr val="845AA2"/>
      </a:accent6>
      <a:hlink>
        <a:srgbClr val="1C4483"/>
      </a:hlink>
      <a:folHlink>
        <a:srgbClr val="422D51"/>
      </a:folHlink>
    </a:clrScheme>
    <a:fontScheme name="WOR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6E766EE377C24084592FE49AF6C7E9" ma:contentTypeVersion="25" ma:contentTypeDescription="Create a new document." ma:contentTypeScope="" ma:versionID="f4ef1b8d5fb551d079405cd306b92e8e">
  <xsd:schema xmlns:xsd="http://www.w3.org/2001/XMLSchema" xmlns:xs="http://www.w3.org/2001/XMLSchema" xmlns:p="http://schemas.microsoft.com/office/2006/metadata/properties" xmlns:ns2="f3b51135-af86-4f3b-873f-8239ae52cc75" xmlns:ns3="b3d54d22-4690-4519-809a-10fa5c7eb8ca" targetNamespace="http://schemas.microsoft.com/office/2006/metadata/properties" ma:root="true" ma:fieldsID="d6c5a32ade5ba4de1bb9b46a18c35513" ns2:_="" ns3:_="">
    <xsd:import namespace="f3b51135-af86-4f3b-873f-8239ae52cc75"/>
    <xsd:import namespace="b3d54d22-4690-4519-809a-10fa5c7eb8ca"/>
    <xsd:element name="properties">
      <xsd:complexType>
        <xsd:sequence>
          <xsd:element name="documentManagement">
            <xsd:complexType>
              <xsd:all>
                <xsd:element ref="ns2:Property_x0020_Name" minOccurs="0"/>
                <xsd:element ref="ns2:Lot_x0020_on_x0020_Pla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1135-af86-4f3b-873f-8239ae52cc75" elementFormDefault="qualified">
    <xsd:import namespace="http://schemas.microsoft.com/office/2006/documentManagement/types"/>
    <xsd:import namespace="http://schemas.microsoft.com/office/infopath/2007/PartnerControls"/>
    <xsd:element name="Property_x0020_Name" ma:index="4" nillable="true" ma:displayName="Property Owner Name" ma:internalName="Property_x0020_Name" ma:readOnly="false">
      <xsd:simpleType>
        <xsd:restriction base="dms:Text">
          <xsd:maxLength value="255"/>
        </xsd:restriction>
      </xsd:simpleType>
    </xsd:element>
    <xsd:element name="Lot_x0020_on_x0020_Plan" ma:index="5" nillable="true" ma:displayName="Lot on Plan" ma:internalName="Lot_x0020_on_x0020_Plan"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54d22-4690-4519-809a-10fa5c7eb8c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t_x0020_on_x0020_Plan xmlns="f3b51135-af86-4f3b-873f-8239ae52cc75" xsi:nil="true"/>
    <Property_x0020_Name xmlns="f3b51135-af86-4f3b-873f-8239ae52cc75" xsi:nil="true"/>
    <_Flow_SignoffStatus xmlns="f3b51135-af86-4f3b-873f-8239ae52cc75" xsi:nil="true"/>
  </documentManagement>
</p:properties>
</file>

<file path=customXml/item3.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4.xml><?xml version="1.0" encoding="utf-8"?>
<ct:contentTypeSchema xmlns:ct="http://schemas.microsoft.com/office/2006/metadata/contentType" xmlns:ma="http://schemas.microsoft.com/office/2006/metadata/properties/metaAttributes" ct:_="" ma:_="" ma:contentTypeName="Project Document" ma:contentTypeID="0x010100DF7DE8659D2E4069B707ECFA3CD7A8600054701FFDF6EC419FA11C2E6F6594747400C9688592B66ABE44B144A600F3F801E7" ma:contentTypeVersion="10" ma:contentTypeDescription="Project Document Type" ma:contentTypeScope="" ma:versionID="eac6591541bcc1b6588c6c13d64dab60">
  <xsd:schema xmlns:xsd="http://www.w3.org/2001/XMLSchema" xmlns:xs="http://www.w3.org/2001/XMLSchema" xmlns:p="http://schemas.microsoft.com/office/2006/metadata/properties" xmlns:ns2="c0053e3c-1697-4ac4-9a83-8ee3b582d76f" xmlns:ns4="b515edd4-7658-41ae-a9ea-36e04bfea53e" xmlns:ns5="580b338a-2d14-434a-a3db-04eb9fbec824" targetNamespace="http://schemas.microsoft.com/office/2006/metadata/properties" ma:root="true" ma:fieldsID="a6c7a58d0ea93ea13ae10df9f973c941" ns2:_="" ns4:_="" ns5:_="">
    <xsd:import namespace="c0053e3c-1697-4ac4-9a83-8ee3b582d76f"/>
    <xsd:import namespace="b515edd4-7658-41ae-a9ea-36e04bfea53e"/>
    <xsd:import namespace="580b338a-2d14-434a-a3db-04eb9fbec824"/>
    <xsd:element name="properties">
      <xsd:complexType>
        <xsd:sequence>
          <xsd:element name="documentManagement">
            <xsd:complexType>
              <xsd:all>
                <xsd:element ref="ns2:ServiceGroup" minOccurs="0"/>
                <xsd:element ref="ns2:ServiceGroupCode" minOccurs="0"/>
                <xsd:element ref="ns2:ServiceLine" minOccurs="0"/>
                <xsd:element ref="ns2:Client" minOccurs="0"/>
                <xsd:element ref="ns2:Market" minOccurs="0"/>
                <xsd:element ref="ns2:MarketSubSector" minOccurs="0"/>
                <xsd:element ref="ns2:ProjectName" minOccurs="0"/>
                <xsd:element ref="ns2:OpportunityNumber" minOccurs="0"/>
                <xsd:element ref="ns2:ProposalNumber" minOccurs="0"/>
                <xsd:element ref="ns2:DeliveryNumber" minOccurs="0"/>
                <xsd:element ref="ns2:DocumentOwner" minOccurs="0"/>
                <xsd:element ref="ns2:GHDProjectDocumentCategory" minOccurs="0"/>
                <xsd:element ref="ns2:GHDProjectDocumentType" minOccurs="0"/>
                <xsd:element ref="ns2:OperatingCentreNumber" minOccurs="0"/>
                <xsd:element ref="ns2:GHDDiscipline" minOccurs="0"/>
                <xsd:element ref="ns2:Subdiscipline" minOccurs="0"/>
                <xsd:element ref="ns2:DLCPolicyLabelValue" minOccurs="0"/>
                <xsd:element ref="ns2:GHDSubject" minOccurs="0"/>
                <xsd:element ref="ns2:_dlc_DocId" minOccurs="0"/>
                <xsd:element ref="ns2:_dlc_DocIdUrl" minOccurs="0"/>
                <xsd:element ref="ns2:_dlc_DocIdPersistId" minOccurs="0"/>
                <xsd:element ref="ns2:j50e3e2613b74262b37fea1aa274b670" minOccurs="0"/>
                <xsd:element ref="ns2:m3551dab83554b9ba25052931f7db87c" minOccurs="0"/>
                <xsd:element ref="ns2:nb7d366067e243d7b9cb9c8366db41c6" minOccurs="0"/>
                <xsd:element ref="ns2:o4cbc39bdab54bab82c5edea44c6ebe9" minOccurs="0"/>
                <xsd:element ref="ns2:b61bccce3caa4ede9231dabc37a516eb" minOccurs="0"/>
                <xsd:element ref="ns2:df4ef19112d74a6ea7510bfd204a59a6" minOccurs="0"/>
                <xsd:element ref="ns2:e6974c133175453496f9936f9a03a5a6" minOccurs="0"/>
                <xsd:element ref="ns2:TaxCatchAllLabel" minOccurs="0"/>
                <xsd:element ref="ns2:TaxKeywordTaxHTField" minOccurs="0"/>
                <xsd:element ref="ns2:TaxCatchAll" minOccurs="0"/>
                <xsd:element ref="ns4:Document_x0020_Approval"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53e3c-1697-4ac4-9a83-8ee3b582d76f" elementFormDefault="qualified">
    <xsd:import namespace="http://schemas.microsoft.com/office/2006/documentManagement/types"/>
    <xsd:import namespace="http://schemas.microsoft.com/office/infopath/2007/PartnerControls"/>
    <xsd:element name="ServiceGroup" ma:index="2" nillable="true" ma:displayName="Service Group" ma:default="Victoria Planning, Approvals &amp; Heritage" ma:internalName="ServiceGroup">
      <xsd:simpleType>
        <xsd:restriction base="dms:Text"/>
      </xsd:simpleType>
    </xsd:element>
    <xsd:element name="ServiceGroupCode" ma:index="3" nillable="true" ma:displayName="Service Group Code" ma:default="113136" ma:internalName="ServiceGroupCode" ma:readOnly="false">
      <xsd:simpleType>
        <xsd:restriction base="dms:Text"/>
      </xsd:simpleType>
    </xsd:element>
    <xsd:element name="ServiceLine" ma:index="4" nillable="true" ma:displayName="Service Line" ma:default="Impact Assessment &amp; permitting" ma:internalName="ServiceLine">
      <xsd:simpleType>
        <xsd:restriction base="dms:Text"/>
      </xsd:simpleType>
    </xsd:element>
    <xsd:element name="Client" ma:index="5" nillable="true" ma:displayName="Client" ma:default="Australian Pipeline Limited" ma:internalName="Client">
      <xsd:simpleType>
        <xsd:restriction base="dms:Text"/>
      </xsd:simpleType>
    </xsd:element>
    <xsd:element name="Market" ma:index="6" nillable="true" ma:displayName="Market" ma:default="Environment | Energy &amp; Resources" ma:internalName="Market">
      <xsd:simpleType>
        <xsd:restriction base="dms:Text"/>
      </xsd:simpleType>
    </xsd:element>
    <xsd:element name="MarketSubSector" ma:index="7" nillable="true" ma:displayName="Market Sub Sector" ma:default="Unknown" ma:internalName="MarketSubSector" ma:readOnly="false">
      <xsd:simpleType>
        <xsd:restriction base="dms:Text"/>
      </xsd:simpleType>
    </xsd:element>
    <xsd:element name="ProjectName" ma:index="8" nillable="true" ma:displayName="Project Name" ma:default="APA WORM - Environment Effects Statement" ma:internalName="ProjectName">
      <xsd:simpleType>
        <xsd:restriction base="dms:Text"/>
      </xsd:simpleType>
    </xsd:element>
    <xsd:element name="OpportunityNumber" ma:index="9" nillable="true" ma:displayName="Opportunity Number" ma:default="64309" ma:internalName="OpportunityNumber" ma:readOnly="false">
      <xsd:simpleType>
        <xsd:restriction base="dms:Text"/>
      </xsd:simpleType>
    </xsd:element>
    <xsd:element name="ProposalNumber" ma:index="10" nillable="true" ma:displayName="Proposal Number" ma:default="12529997" ma:internalName="ProposalNumber" ma:readOnly="false">
      <xsd:simpleType>
        <xsd:restriction base="dms:Text"/>
      </xsd:simpleType>
    </xsd:element>
    <xsd:element name="DeliveryNumber" ma:index="11" nillable="true" ma:displayName="Delivery Number" ma:default="12529997" ma:internalName="DeliveryNumber" ma:readOnly="false">
      <xsd:simpleType>
        <xsd:restriction base="dms:Text"/>
      </xsd:simpleType>
    </xsd:element>
    <xsd:element name="DocumentOwner" ma:index="13" nillable="true" ma:displayName="Document Owner" ma:SearchPeopleOnly="false" ma:internalName="Document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HDProjectDocumentCategory" ma:index="15" nillable="true" ma:displayName="Document Category" ma:default="" ma:format="Dropdown" ma:internalName="GHDProjectDocumentCategory" ma:readOnly="false">
      <xsd:simpleType>
        <xsd:restriction base="dms:Choice">
          <xsd:enumeration value=""/>
          <xsd:enumeration value="Client-supplied information"/>
          <xsd:enumeration value="Deliverable"/>
          <xsd:enumeration value="In Development"/>
          <xsd:enumeration value="Project Management"/>
          <xsd:enumeration value="Review Record"/>
          <xsd:enumeration value="Vendor / Subconsultant information"/>
          <xsd:enumeration value="Workings"/>
        </xsd:restriction>
      </xsd:simpleType>
    </xsd:element>
    <xsd:element name="GHDProjectDocumentType" ma:index="16" nillable="true" ma:displayName="Document Type" ma:default="" ma:format="Dropdown" ma:internalName="GHDProjectDocumentType" ma:readOnly="false">
      <xsd:simpleType>
        <xsd:restriction base="dms:Choice">
          <xsd:enumeration value=""/>
          <xsd:enumeration value="Agenda"/>
          <xsd:enumeration value="Analytical"/>
          <xsd:enumeration value="Appendix"/>
          <xsd:enumeration value="Billing / Invoicing"/>
          <xsd:enumeration value="Brief"/>
          <xsd:enumeration value="Calculation"/>
          <xsd:enumeration value="Construction Submittals"/>
          <xsd:enumeration value="Contract / Legal"/>
          <xsd:enumeration value="CV"/>
          <xsd:enumeration value="Drawing / Figure"/>
          <xsd:enumeration value="Estimate"/>
          <xsd:enumeration value="Field / Project Site notes"/>
          <xsd:enumeration value="File note"/>
          <xsd:enumeration value="Form"/>
          <xsd:enumeration value="Letter"/>
          <xsd:enumeration value="Memorandum"/>
          <xsd:enumeration value="Minutes"/>
          <xsd:enumeration value="Presentation"/>
          <xsd:enumeration value="Program / Schedule"/>
          <xsd:enumeration value="Proposal"/>
          <xsd:enumeration value="Purchase Order"/>
          <xsd:enumeration value="Register"/>
          <xsd:enumeration value="Report"/>
          <xsd:enumeration value="Request for Information"/>
          <xsd:enumeration value="Review / Check Pack"/>
          <xsd:enumeration value="Safety-related"/>
          <xsd:enumeration value="Specification"/>
          <xsd:enumeration value="Variation"/>
        </xsd:restriction>
      </xsd:simpleType>
    </xsd:element>
    <xsd:element name="OperatingCentreNumber" ma:index="19" nillable="true" ma:displayName="Operating Centre Number" ma:default="31" ma:internalName="OperatingCentreNumber" ma:readOnly="false">
      <xsd:simpleType>
        <xsd:restriction base="dms:Text"/>
      </xsd:simpleType>
    </xsd:element>
    <xsd:element name="GHDDiscipline" ma:index="22" nillable="true" ma:displayName="Discipline" ma:default="" ma:format="Dropdown" ma:internalName="GHDDiscipline" ma:readOnly="false">
      <xsd:simpleType>
        <xsd:restriction base="dms:Choice">
          <xsd:enumeration value=""/>
          <xsd:enumeration value="Air quality"/>
          <xsd:enumeration value="Biodiversity"/>
          <xsd:enumeration value="Community engagement and consultation"/>
          <xsd:enumeration value="Contamination"/>
          <xsd:enumeration value="Cultural heritage"/>
          <xsd:enumeration value="EES Main report"/>
          <xsd:enumeration value="Greenhouse gas"/>
          <xsd:enumeration value="Ground movement / stability"/>
          <xsd:enumeration value="Groundwater"/>
          <xsd:enumeration value="Hazard and safety"/>
          <xsd:enumeration value="Land use"/>
          <xsd:enumeration value="Landscape and visual"/>
          <xsd:enumeration value="Noise and vibration"/>
          <xsd:enumeration value="Project Management"/>
          <xsd:enumeration value="Safety"/>
          <xsd:enumeration value="Social"/>
          <xsd:enumeration value="Surface water"/>
          <xsd:enumeration value="Works approval application"/>
        </xsd:restriction>
      </xsd:simpleType>
    </xsd:element>
    <xsd:element name="Subdiscipline" ma:index="24" nillable="true" ma:displayName="Free field 1" ma:internalName="Subdiscipline" ma:readOnly="false">
      <xsd:simpleType>
        <xsd:restriction base="dms:Text"/>
      </xsd:simpleType>
    </xsd:element>
    <xsd:element name="DLCPolicyLabelValue" ma:index="26" nillable="true" ma:displayName="Label" ma:internalName="DLCPolicyLabelValue" ma:readOnly="false">
      <xsd:simpleType>
        <xsd:restriction base="dms:Note">
          <xsd:maxLength value="255"/>
        </xsd:restriction>
      </xsd:simpleType>
    </xsd:element>
    <xsd:element name="GHDSubject" ma:index="27" nillable="true" ma:displayName="Free field 2" ma:internalName="GHDSubject" ma:readOnly="false">
      <xsd:simpleType>
        <xsd:restriction base="dms:Text"/>
      </xsd:simpleType>
    </xsd:element>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j50e3e2613b74262b37fea1aa274b670" ma:index="34" nillable="true" ma:taxonomy="true" ma:internalName="j50e3e2613b74262b37fea1aa274b670" ma:taxonomyFieldName="GHDCountry" ma:displayName="Country" ma:readOnly="false" ma:fieldId="{350e3e26-13b7-4262-b37f-ea1aa274b670}" ma:taxonomyMulti="true" ma:sspId="53e7a919-4f0a-4938-8814-3e8d216b717b" ma:termSetId="9e92e0d0-09f3-4db8-b409-0c363e29e4d7" ma:anchorId="9461eca6-4d93-4db2-a545-5c9fef9aabcc" ma:open="false" ma:isKeyword="false">
      <xsd:complexType>
        <xsd:sequence>
          <xsd:element ref="pc:Terms" minOccurs="0" maxOccurs="1"/>
        </xsd:sequence>
      </xsd:complexType>
    </xsd:element>
    <xsd:element name="m3551dab83554b9ba25052931f7db87c" ma:index="36" nillable="true" ma:taxonomy="true" ma:internalName="m3551dab83554b9ba25052931f7db87c" ma:taxonomyFieldName="ProjectDocumentCategory" ma:displayName="Document Category" ma:readOnly="false" ma:default="3;#(Not Categorised)|f4f9c753-b57a-44c0-a441-0f219a3b091b" ma:fieldId="{63551dab-8355-4b9b-a250-52931f7db87c}" ma:sspId="53e7a919-4f0a-4938-8814-3e8d216b717b" ma:termSetId="591f7810-df82-44d3-b143-089fecfe998b" ma:anchorId="1bb8654a-ca84-426b-8a0a-b0e1d6f9dae3" ma:open="false" ma:isKeyword="false">
      <xsd:complexType>
        <xsd:sequence>
          <xsd:element ref="pc:Terms" minOccurs="0" maxOccurs="1"/>
        </xsd:sequence>
      </xsd:complexType>
    </xsd:element>
    <xsd:element name="nb7d366067e243d7b9cb9c8366db41c6" ma:index="38" nillable="true" ma:taxonomy="true" ma:internalName="nb7d366067e243d7b9cb9c8366db41c6" ma:taxonomyFieldName="ProjectDocumentType" ma:displayName="Document Type" ma:readOnly="false" ma:fieldId="{7b7d3660-67e2-43d7-b9cb-9c8366db41c6}" ma:sspId="53e7a919-4f0a-4938-8814-3e8d216b717b" ma:termSetId="591f7810-df82-44d3-b143-089fecfe998b" ma:anchorId="624de915-3ee9-4d85-9e35-5cc5218065e3" ma:open="false" ma:isKeyword="false">
      <xsd:complexType>
        <xsd:sequence>
          <xsd:element ref="pc:Terms" minOccurs="0" maxOccurs="1"/>
        </xsd:sequence>
      </xsd:complexType>
    </xsd:element>
    <xsd:element name="o4cbc39bdab54bab82c5edea44c6ebe9" ma:index="39" nillable="true" ma:taxonomy="true" ma:internalName="o4cbc39bdab54bab82c5edea44c6ebe9" ma:taxonomyFieldName="GHDRegion" ma:displayName="Region" ma:readOnly="false" ma:default="3;#Australia|4b5dc0ee-7645-4358-b0c1-3ec636294e6b" ma:fieldId="{84cbc39b-dab5-4bab-82c5-edea44c6ebe9}" ma:taxonomyMulti="true" ma:sspId="53e7a919-4f0a-4938-8814-3e8d216b717b" ma:termSetId="9e92e0d0-09f3-4db8-b409-0c363e29e4d7" ma:anchorId="97ae399a-aaf0-4db8-bb01-e1c6e11e51d5" ma:open="false" ma:isKeyword="false">
      <xsd:complexType>
        <xsd:sequence>
          <xsd:element ref="pc:Terms" minOccurs="0" maxOccurs="1"/>
        </xsd:sequence>
      </xsd:complexType>
    </xsd:element>
    <xsd:element name="b61bccce3caa4ede9231dabc37a516eb" ma:index="41" nillable="true" ma:taxonomy="true" ma:internalName="b61bccce3caa4ede9231dabc37a516eb" ma:taxonomyFieldName="GHDOperatingCentre" ma:displayName="Operating Centre" ma:readOnly="false" ma:default="2;#Victoria|dac0b128-dd9a-4785-991b-62e5de2e885b" ma:fieldId="{b61bccce-3caa-4ede-9231-dabc37a516eb}" ma:taxonomyMulti="true" ma:sspId="53e7a919-4f0a-4938-8814-3e8d216b717b" ma:termSetId="9e92e0d0-09f3-4db8-b409-0c363e29e4d7" ma:anchorId="4456b394-13fb-4a91-ba48-4ed356ada668" ma:open="false" ma:isKeyword="false">
      <xsd:complexType>
        <xsd:sequence>
          <xsd:element ref="pc:Terms" minOccurs="0" maxOccurs="1"/>
        </xsd:sequence>
      </xsd:complexType>
    </xsd:element>
    <xsd:element name="df4ef19112d74a6ea7510bfd204a59a6" ma:index="42" nillable="true" ma:taxonomy="true" ma:internalName="df4ef19112d74a6ea7510bfd204a59a6" ma:taxonomyFieldName="Discipline" ma:displayName="Discipline" ma:readOnly="false" ma:fieldId="{df4ef191-12d7-4a6e-a751-0bfd204a59a6}" ma:taxonomyMulti="true" ma:sspId="53e7a919-4f0a-4938-8814-3e8d216b717b" ma:termSetId="9e92e0d0-09f3-4db8-b409-0c363e29e4d7" ma:anchorId="90079323-8951-441f-8b6f-7170f92db9f6" ma:open="false" ma:isKeyword="false">
      <xsd:complexType>
        <xsd:sequence>
          <xsd:element ref="pc:Terms" minOccurs="0" maxOccurs="1"/>
        </xsd:sequence>
      </xsd:complexType>
    </xsd:element>
    <xsd:element name="e6974c133175453496f9936f9a03a5a6" ma:index="44" nillable="true" ma:taxonomy="true" ma:internalName="e6974c133175453496f9936f9a03a5a6" ma:taxonomyFieldName="Classification" ma:displayName="Classification" ma:readOnly="false" ma:default="2;#Unclassified|5bcd1335-87be-43aa-9aa8-adc620b22826" ma:fieldId="{e6974c13-3175-4534-96f9-936f9a03a5a6}" ma:sspId="53e7a919-4f0a-4938-8814-3e8d216b717b" ma:termSetId="9e92e0d0-09f3-4db8-b409-0c363e29e4d7" ma:anchorId="3fbf9ba4-dfe3-43b5-9ed4-4014acdc3b99" ma:open="false" ma:isKeyword="false">
      <xsd:complexType>
        <xsd:sequence>
          <xsd:element ref="pc:Terms" minOccurs="0" maxOccurs="1"/>
        </xsd:sequence>
      </xsd:complexType>
    </xsd:element>
    <xsd:element name="TaxCatchAllLabel" ma:index="45" nillable="true" ma:displayName="Taxonomy Catch All Column1" ma:hidden="true" ma:list="{e66343ae-3ce8-4e69-a0bb-64834adbdb93}" ma:internalName="TaxCatchAllLabel" ma:readOnly="true" ma:showField="CatchAllDataLabel" ma:web="c0053e3c-1697-4ac4-9a83-8ee3b582d76f">
      <xsd:complexType>
        <xsd:complexContent>
          <xsd:extension base="dms:MultiChoiceLookup">
            <xsd:sequence>
              <xsd:element name="Value" type="dms:Lookup" maxOccurs="unbounded" minOccurs="0" nillable="true"/>
            </xsd:sequence>
          </xsd:extension>
        </xsd:complexContent>
      </xsd:complexType>
    </xsd:element>
    <xsd:element name="TaxKeywordTaxHTField" ma:index="46"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7" nillable="true" ma:displayName="Taxonomy Catch All Column" ma:hidden="true" ma:list="{e66343ae-3ce8-4e69-a0bb-64834adbdb93}" ma:internalName="TaxCatchAll" ma:showField="CatchAllData" ma:web="c0053e3c-1697-4ac4-9a83-8ee3b582d7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15edd4-7658-41ae-a9ea-36e04bfea53e" elementFormDefault="qualified">
    <xsd:import namespace="http://schemas.microsoft.com/office/2006/documentManagement/types"/>
    <xsd:import namespace="http://schemas.microsoft.com/office/infopath/2007/PartnerControls"/>
    <xsd:element name="Document_x0020_Approval" ma:index="48" nillable="true" ma:displayName="Document Approval" ma:internalName="Document_x0020_Approva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0b338a-2d14-434a-a3db-04eb9fbec824"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4" ma:displayName="Author"/>
        <xsd:element ref="dcterms:created" minOccurs="0" maxOccurs="1"/>
        <xsd:element ref="dc:identifier" minOccurs="0" maxOccurs="1"/>
        <xsd:element name="contentType" minOccurs="0" maxOccurs="1" type="xsd:string" ma:index="3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2F2F1D27-58AA-472E-A386-37517A3E1EB2}"/>
</file>

<file path=customXml/itemProps2.xml><?xml version="1.0" encoding="utf-8"?>
<ds:datastoreItem xmlns:ds="http://schemas.openxmlformats.org/officeDocument/2006/customXml" ds:itemID="{9D08A5EA-36D4-4BD1-B373-10950269504E}">
  <ds:schemaRef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purl.org/dc/terms/"/>
    <ds:schemaRef ds:uri="580b338a-2d14-434a-a3db-04eb9fbec824"/>
    <ds:schemaRef ds:uri="b515edd4-7658-41ae-a9ea-36e04bfea53e"/>
    <ds:schemaRef ds:uri="c0053e3c-1697-4ac4-9a83-8ee3b582d76f"/>
    <ds:schemaRef ds:uri="http://www.w3.org/XML/1998/namespace"/>
    <ds:schemaRef ds:uri="http://purl.org/dc/dcmitype/"/>
  </ds:schemaRefs>
</ds:datastoreItem>
</file>

<file path=customXml/itemProps3.xml><?xml version="1.0" encoding="utf-8"?>
<ds:datastoreItem xmlns:ds="http://schemas.openxmlformats.org/officeDocument/2006/customXml" ds:itemID="{5CBCA6C0-0C44-4C09-B124-BF246441FA83}">
  <ds:schemaRefs>
    <ds:schemaRef ds:uri="http://schemas.openxmlformats.org/officeDocument/2006/bibliography"/>
  </ds:schemaRefs>
</ds:datastoreItem>
</file>

<file path=customXml/itemProps4.xml><?xml version="1.0" encoding="utf-8"?>
<ds:datastoreItem xmlns:ds="http://schemas.openxmlformats.org/officeDocument/2006/customXml" ds:itemID="{49A44A0E-58A7-46B9-A758-BCCD8633D0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53e3c-1697-4ac4-9a83-8ee3b582d76f"/>
    <ds:schemaRef ds:uri="b515edd4-7658-41ae-a9ea-36e04bfea53e"/>
    <ds:schemaRef ds:uri="580b338a-2d14-434a-a3db-04eb9fbec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6E6210-62C8-4B63-B6F1-C3B5DBBE37A7}"/>
</file>

<file path=docProps/app.xml><?xml version="1.0" encoding="utf-8"?>
<Properties xmlns="http://schemas.openxmlformats.org/officeDocument/2006/extended-properties" xmlns:vt="http://schemas.openxmlformats.org/officeDocument/2006/docPropsVTypes">
  <Template>Normal.dotm</Template>
  <TotalTime>19</TotalTime>
  <Pages>24</Pages>
  <Words>6906</Words>
  <Characters>40131</Characters>
  <Application>Microsoft Office Word</Application>
  <DocSecurity>0</DocSecurity>
  <Lines>839</Lines>
  <Paragraphs>404</Paragraphs>
  <ScaleCrop>false</ScaleCrop>
  <HeadingPairs>
    <vt:vector size="2" baseType="variant">
      <vt:variant>
        <vt:lpstr>Title</vt:lpstr>
      </vt:variant>
      <vt:variant>
        <vt:i4>1</vt:i4>
      </vt:variant>
    </vt:vector>
  </HeadingPairs>
  <TitlesOfParts>
    <vt:vector size="1" baseType="lpstr">
      <vt:lpstr>Chapter 5 – Evaluation and Assessment Framework.docx</vt:lpstr>
    </vt:vector>
  </TitlesOfParts>
  <Company/>
  <LinksUpToDate>false</LinksUpToDate>
  <CharactersWithSpaces>46751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5 – Evaluation and Assessment Framework.docx</dc:title>
  <dc:subject/>
  <dc:creator>APA VTS (Operations) Pty Ltd</dc:creator>
  <cp:keywords/>
  <cp:lastModifiedBy>APA VTS Pty Ltd</cp:lastModifiedBy>
  <cp:revision>9</cp:revision>
  <cp:lastPrinted>2021-05-02T11:58:00Z</cp:lastPrinted>
  <dcterms:created xsi:type="dcterms:W3CDTF">2021-05-12T07:05:00Z</dcterms:created>
  <dcterms:modified xsi:type="dcterms:W3CDTF">2021-06-17T02:19:00Z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0x010100756E766EE377C24084592FE49AF6C7E9</vt:lpwstr>
  </property>
  <property fmtid="{D5CDD505-2E9C-101B-9397-08002B2CF9AE}" pid="3" name="_dlc_DocIdItemGuid">
    <vt:lpwstr>b1cec10a-f811-4503-92b6-596b32c28a84</vt:lpwstr>
  </property>
  <property fmtid="{D5CDD505-2E9C-101B-9397-08002B2CF9AE}" pid="4" name="TaxKeyword">
    <vt:lpwstr/>
  </property>
  <property fmtid="{D5CDD505-2E9C-101B-9397-08002B2CF9AE}" pid="5" name="Discipline">
    <vt:lpwstr/>
  </property>
  <property fmtid="{D5CDD505-2E9C-101B-9397-08002B2CF9AE}" pid="6" name="ProjectDocumentType">
    <vt:lpwstr/>
  </property>
  <property fmtid="{D5CDD505-2E9C-101B-9397-08002B2CF9AE}" pid="7" name="GHDCountry">
    <vt:lpwstr/>
  </property>
  <property fmtid="{D5CDD505-2E9C-101B-9397-08002B2CF9AE}" pid="8" name="WPCosting">
    <vt:filetime>2021-04-28T06:12:16Z</vt:filetime>
  </property>
  <property fmtid="{D5CDD505-2E9C-101B-9397-08002B2CF9AE}" pid="9" name="de8d7342c5b5450c9b842a5dc64d425d">
    <vt:lpwstr>(Not Categorised)|54c8a4fd-8769-4f61-8c90-9588a1422cbc</vt:lpwstr>
  </property>
  <property fmtid="{D5CDD505-2E9C-101B-9397-08002B2CF9AE}" pid="10" name="DocumentTransfer">
    <vt:lpwstr>20;#(Not Categorised)|54c8a4fd-8769-4f61-8c90-9588a1422cbc</vt:lpwstr>
  </property>
  <property fmtid="{D5CDD505-2E9C-101B-9397-08002B2CF9AE}" pid="11" name="GHDRegion">
    <vt:lpwstr/>
  </property>
  <property fmtid="{D5CDD505-2E9C-101B-9397-08002B2CF9AE}" pid="12" name="ProjectDocumentCategory">
    <vt:lpwstr/>
  </property>
  <property fmtid="{D5CDD505-2E9C-101B-9397-08002B2CF9AE}" pid="13" name="GHDOperatingCentre">
    <vt:lpwstr/>
  </property>
  <property fmtid="{D5CDD505-2E9C-101B-9397-08002B2CF9AE}" pid="14" name="Classification">
    <vt:lpwstr/>
  </property>
</Properties>
</file>