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97A22" w14:textId="6ACA9990" w:rsidR="00BC7381" w:rsidRDefault="00BC7381" w:rsidP="00A02B5C">
      <w:pPr>
        <w:pStyle w:val="Heading1ChapterNumber"/>
      </w:pPr>
      <w:bookmarkStart w:id="0" w:name="_Toc72198630"/>
      <w:r>
        <w:t xml:space="preserve">Chapter </w:t>
      </w:r>
      <w:r w:rsidR="00D21058">
        <w:fldChar w:fldCharType="begin"/>
      </w:r>
      <w:r w:rsidR="00D21058">
        <w:instrText xml:space="preserve"> STYLEREF  "Heading 1" \n  \* MERGEFORMAT </w:instrText>
      </w:r>
      <w:r w:rsidR="00D21058">
        <w:fldChar w:fldCharType="separate"/>
      </w:r>
      <w:r w:rsidR="00BA1E56">
        <w:rPr>
          <w:noProof/>
        </w:rPr>
        <w:t>3</w:t>
      </w:r>
      <w:bookmarkEnd w:id="0"/>
      <w:r w:rsidR="00D21058">
        <w:rPr>
          <w:noProof/>
        </w:rPr>
        <w:fldChar w:fldCharType="end"/>
      </w:r>
    </w:p>
    <w:p w14:paraId="77BF51C0" w14:textId="1C5C8B0B" w:rsidR="00A02B5C" w:rsidRPr="00E8026F" w:rsidRDefault="00D21058" w:rsidP="00BA1E56">
      <w:pPr>
        <w:pStyle w:val="Heading1"/>
      </w:pPr>
      <w:sdt>
        <w:sdtPr>
          <w:id w:val="1607932508"/>
          <w:docPartObj>
            <w:docPartGallery w:val="Cover Pages"/>
            <w:docPartUnique/>
          </w:docPartObj>
        </w:sdtPr>
        <w:sdtEndPr/>
        <w:sdtContent>
          <w:bookmarkStart w:id="1" w:name="_Toc46733439"/>
          <w:r w:rsidR="00C26B92">
            <w:t xml:space="preserve">Project </w:t>
          </w:r>
          <w:r w:rsidR="004C34DF">
            <w:t>d</w:t>
          </w:r>
          <w:r w:rsidR="00C26B92">
            <w:t>evelopment</w:t>
          </w:r>
          <w:r w:rsidR="00C15297">
            <w:t xml:space="preserve"> and alternatives</w:t>
          </w:r>
        </w:sdtContent>
      </w:sdt>
      <w:bookmarkEnd w:id="1"/>
    </w:p>
    <w:p w14:paraId="01B02612" w14:textId="53A008EF" w:rsidR="00A02B5C" w:rsidRDefault="003C209D" w:rsidP="00A02B5C">
      <w:pPr>
        <w:pStyle w:val="Chapterimage"/>
      </w:pPr>
      <w:r>
        <w:drawing>
          <wp:anchor distT="0" distB="0" distL="114300" distR="114300" simplePos="0" relativeHeight="251659264" behindDoc="0" locked="0" layoutInCell="1" allowOverlap="1" wp14:anchorId="1F7C486E" wp14:editId="2AB8551E">
            <wp:simplePos x="0" y="0"/>
            <wp:positionH relativeFrom="page">
              <wp:posOffset>0</wp:posOffset>
            </wp:positionH>
            <wp:positionV relativeFrom="page">
              <wp:posOffset>0</wp:posOffset>
            </wp:positionV>
            <wp:extent cx="7563485" cy="1069149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5DB122A1"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bookmarkStart w:id="2" w:name="_Toc392541312" w:displacedByCustomXml="next"/>
    <w:bookmarkStart w:id="3" w:name="_Toc42228428" w:displacedByCustomXml="next"/>
    <w:sdt>
      <w:sdtPr>
        <w:rPr>
          <w:rFonts w:asciiTheme="minorHAnsi" w:eastAsiaTheme="minorHAnsi" w:hAnsiTheme="minorHAnsi" w:cstheme="minorBidi"/>
          <w:bCs w:val="0"/>
          <w:noProof/>
          <w:color w:val="auto"/>
          <w:sz w:val="22"/>
          <w:szCs w:val="22"/>
        </w:rPr>
        <w:id w:val="-278254695"/>
        <w:docPartObj>
          <w:docPartGallery w:val="Table of Contents"/>
          <w:docPartUnique/>
        </w:docPartObj>
      </w:sdtPr>
      <w:sdtEndPr>
        <w:rPr>
          <w:color w:val="1C4483" w:themeColor="accent1"/>
          <w:sz w:val="20"/>
        </w:rPr>
      </w:sdtEndPr>
      <w:sdtContent>
        <w:sdt>
          <w:sdtPr>
            <w:rPr>
              <w:rFonts w:asciiTheme="minorHAnsi" w:eastAsiaTheme="minorHAnsi" w:hAnsiTheme="minorHAnsi" w:cstheme="minorBidi"/>
              <w:bCs w:val="0"/>
              <w:noProof/>
              <w:sz w:val="20"/>
              <w:szCs w:val="22"/>
            </w:rPr>
            <w:id w:val="-1684888852"/>
            <w:docPartObj>
              <w:docPartGallery w:val="Table of Contents"/>
              <w:docPartUnique/>
            </w:docPartObj>
          </w:sdtPr>
          <w:sdtEndPr/>
          <w:sdtContent>
            <w:p w14:paraId="79E078A7" w14:textId="77777777" w:rsidR="003C209D" w:rsidRDefault="003C209D" w:rsidP="003C209D">
              <w:pPr>
                <w:pStyle w:val="TOCHeading"/>
              </w:pPr>
              <w:r>
                <w:t>Contents</w:t>
              </w:r>
            </w:p>
            <w:p w14:paraId="23D4DE68" w14:textId="77777777" w:rsidR="00BA1E56" w:rsidRDefault="003C209D">
              <w:pPr>
                <w:pStyle w:val="TOC1"/>
                <w:rPr>
                  <w:rFonts w:eastAsiaTheme="minorEastAsia"/>
                  <w:color w:val="auto"/>
                  <w:lang w:eastAsia="en-AU"/>
                </w:rPr>
              </w:pPr>
              <w:r w:rsidRPr="000E7A0C">
                <w:fldChar w:fldCharType="begin"/>
              </w:r>
              <w:r>
                <w:instrText xml:space="preserve"> TOC \o "2-3" \n 1-1 \h \z \t "Heading 1 Chapter Number,1, Heading 1 No Number,1, Heading 2 No Number,6, Heading 3 No Number,7, Heading 4 No Number,8, Appendix Heading 1,1, Appendix Heading 2,2, Appendix Heading 3,3" </w:instrText>
              </w:r>
              <w:r w:rsidRPr="000E7A0C">
                <w:fldChar w:fldCharType="separate"/>
              </w:r>
              <w:hyperlink w:anchor="_Toc72198630" w:history="1">
                <w:r w:rsidR="00BA1E56" w:rsidRPr="000841CF">
                  <w:rPr>
                    <w:rStyle w:val="Hyperlink"/>
                  </w:rPr>
                  <w:t>Chapter 3</w:t>
                </w:r>
              </w:hyperlink>
            </w:p>
            <w:p w14:paraId="38650DD4" w14:textId="4EB91610" w:rsidR="00BA1E56" w:rsidRDefault="00D21058">
              <w:pPr>
                <w:pStyle w:val="TOC2"/>
                <w:rPr>
                  <w:rFonts w:eastAsiaTheme="minorEastAsia"/>
                  <w:color w:val="auto"/>
                  <w:sz w:val="22"/>
                  <w:lang w:eastAsia="en-AU"/>
                </w:rPr>
              </w:pPr>
              <w:hyperlink w:anchor="_Toc72198631" w:history="1">
                <w:r w:rsidR="00BA1E56" w:rsidRPr="000841CF">
                  <w:rPr>
                    <w:rStyle w:val="Hyperlink"/>
                  </w:rPr>
                  <w:t>3.1</w:t>
                </w:r>
                <w:r w:rsidR="00BA1E56">
                  <w:rPr>
                    <w:rFonts w:eastAsiaTheme="minorEastAsia"/>
                    <w:color w:val="auto"/>
                    <w:sz w:val="22"/>
                    <w:lang w:eastAsia="en-AU"/>
                  </w:rPr>
                  <w:tab/>
                </w:r>
                <w:r w:rsidR="00BA1E56" w:rsidRPr="000841CF">
                  <w:rPr>
                    <w:rStyle w:val="Hyperlink"/>
                  </w:rPr>
                  <w:t>Introduction</w:t>
                </w:r>
                <w:r w:rsidR="00BA1E56">
                  <w:rPr>
                    <w:webHidden/>
                  </w:rPr>
                  <w:tab/>
                </w:r>
                <w:r w:rsidR="00BA1E56">
                  <w:rPr>
                    <w:webHidden/>
                  </w:rPr>
                  <w:fldChar w:fldCharType="begin"/>
                </w:r>
                <w:r w:rsidR="00BA1E56">
                  <w:rPr>
                    <w:webHidden/>
                  </w:rPr>
                  <w:instrText xml:space="preserve"> PAGEREF _Toc72198631 \h </w:instrText>
                </w:r>
                <w:r w:rsidR="00BA1E56">
                  <w:rPr>
                    <w:webHidden/>
                  </w:rPr>
                </w:r>
                <w:r w:rsidR="00BA1E56">
                  <w:rPr>
                    <w:webHidden/>
                  </w:rPr>
                  <w:fldChar w:fldCharType="separate"/>
                </w:r>
                <w:r w:rsidR="00BA1E56">
                  <w:rPr>
                    <w:webHidden/>
                  </w:rPr>
                  <w:t>3-1</w:t>
                </w:r>
                <w:r w:rsidR="00BA1E56">
                  <w:rPr>
                    <w:webHidden/>
                  </w:rPr>
                  <w:fldChar w:fldCharType="end"/>
                </w:r>
              </w:hyperlink>
            </w:p>
            <w:p w14:paraId="17D053E3" w14:textId="6981679A" w:rsidR="00BA1E56" w:rsidRDefault="00D21058">
              <w:pPr>
                <w:pStyle w:val="TOC2"/>
                <w:rPr>
                  <w:rFonts w:eastAsiaTheme="minorEastAsia"/>
                  <w:color w:val="auto"/>
                  <w:sz w:val="22"/>
                  <w:lang w:eastAsia="en-AU"/>
                </w:rPr>
              </w:pPr>
              <w:hyperlink w:anchor="_Toc72198632" w:history="1">
                <w:r w:rsidR="00BA1E56" w:rsidRPr="000841CF">
                  <w:rPr>
                    <w:rStyle w:val="Hyperlink"/>
                  </w:rPr>
                  <w:t>3.2</w:t>
                </w:r>
                <w:r w:rsidR="00BA1E56">
                  <w:rPr>
                    <w:rFonts w:eastAsiaTheme="minorEastAsia"/>
                    <w:color w:val="auto"/>
                    <w:sz w:val="22"/>
                    <w:lang w:eastAsia="en-AU"/>
                  </w:rPr>
                  <w:tab/>
                </w:r>
                <w:r w:rsidR="00BA1E56" w:rsidRPr="000841CF">
                  <w:rPr>
                    <w:rStyle w:val="Hyperlink"/>
                  </w:rPr>
                  <w:t>Project history</w:t>
                </w:r>
                <w:r w:rsidR="00BA1E56">
                  <w:rPr>
                    <w:webHidden/>
                  </w:rPr>
                  <w:tab/>
                </w:r>
                <w:r w:rsidR="00BA1E56">
                  <w:rPr>
                    <w:webHidden/>
                  </w:rPr>
                  <w:fldChar w:fldCharType="begin"/>
                </w:r>
                <w:r w:rsidR="00BA1E56">
                  <w:rPr>
                    <w:webHidden/>
                  </w:rPr>
                  <w:instrText xml:space="preserve"> PAGEREF _Toc72198632 \h </w:instrText>
                </w:r>
                <w:r w:rsidR="00BA1E56">
                  <w:rPr>
                    <w:webHidden/>
                  </w:rPr>
                </w:r>
                <w:r w:rsidR="00BA1E56">
                  <w:rPr>
                    <w:webHidden/>
                  </w:rPr>
                  <w:fldChar w:fldCharType="separate"/>
                </w:r>
                <w:r w:rsidR="00BA1E56">
                  <w:rPr>
                    <w:webHidden/>
                  </w:rPr>
                  <w:t>3-1</w:t>
                </w:r>
                <w:r w:rsidR="00BA1E56">
                  <w:rPr>
                    <w:webHidden/>
                  </w:rPr>
                  <w:fldChar w:fldCharType="end"/>
                </w:r>
              </w:hyperlink>
            </w:p>
            <w:p w14:paraId="2E2EE516" w14:textId="4106F0D1" w:rsidR="00BA1E56" w:rsidRDefault="00D21058">
              <w:pPr>
                <w:pStyle w:val="TOC2"/>
                <w:rPr>
                  <w:rFonts w:eastAsiaTheme="minorEastAsia"/>
                  <w:color w:val="auto"/>
                  <w:sz w:val="22"/>
                  <w:lang w:eastAsia="en-AU"/>
                </w:rPr>
              </w:pPr>
              <w:hyperlink w:anchor="_Toc72198633" w:history="1">
                <w:r w:rsidR="00BA1E56" w:rsidRPr="000841CF">
                  <w:rPr>
                    <w:rStyle w:val="Hyperlink"/>
                  </w:rPr>
                  <w:t>3.3</w:t>
                </w:r>
                <w:r w:rsidR="00BA1E56">
                  <w:rPr>
                    <w:rFonts w:eastAsiaTheme="minorEastAsia"/>
                    <w:color w:val="auto"/>
                    <w:sz w:val="22"/>
                    <w:lang w:eastAsia="en-AU"/>
                  </w:rPr>
                  <w:tab/>
                </w:r>
                <w:r w:rsidR="00BA1E56" w:rsidRPr="000841CF">
                  <w:rPr>
                    <w:rStyle w:val="Hyperlink"/>
                  </w:rPr>
                  <w:t>Overview of project development process</w:t>
                </w:r>
                <w:r w:rsidR="00BA1E56">
                  <w:rPr>
                    <w:webHidden/>
                  </w:rPr>
                  <w:tab/>
                </w:r>
                <w:r w:rsidR="00BA1E56">
                  <w:rPr>
                    <w:webHidden/>
                  </w:rPr>
                  <w:fldChar w:fldCharType="begin"/>
                </w:r>
                <w:r w:rsidR="00BA1E56">
                  <w:rPr>
                    <w:webHidden/>
                  </w:rPr>
                  <w:instrText xml:space="preserve"> PAGEREF _Toc72198633 \h </w:instrText>
                </w:r>
                <w:r w:rsidR="00BA1E56">
                  <w:rPr>
                    <w:webHidden/>
                  </w:rPr>
                </w:r>
                <w:r w:rsidR="00BA1E56">
                  <w:rPr>
                    <w:webHidden/>
                  </w:rPr>
                  <w:fldChar w:fldCharType="separate"/>
                </w:r>
                <w:r w:rsidR="00BA1E56">
                  <w:rPr>
                    <w:webHidden/>
                  </w:rPr>
                  <w:t>3-2</w:t>
                </w:r>
                <w:r w:rsidR="00BA1E56">
                  <w:rPr>
                    <w:webHidden/>
                  </w:rPr>
                  <w:fldChar w:fldCharType="end"/>
                </w:r>
              </w:hyperlink>
            </w:p>
            <w:p w14:paraId="58174A9E" w14:textId="4FF032A0" w:rsidR="00BA1E56" w:rsidRDefault="00D21058">
              <w:pPr>
                <w:pStyle w:val="TOC2"/>
                <w:rPr>
                  <w:rFonts w:eastAsiaTheme="minorEastAsia"/>
                  <w:color w:val="auto"/>
                  <w:sz w:val="22"/>
                  <w:lang w:eastAsia="en-AU"/>
                </w:rPr>
              </w:pPr>
              <w:hyperlink w:anchor="_Toc72198634" w:history="1">
                <w:r w:rsidR="00BA1E56" w:rsidRPr="000841CF">
                  <w:rPr>
                    <w:rStyle w:val="Hyperlink"/>
                  </w:rPr>
                  <w:t>3.4</w:t>
                </w:r>
                <w:r w:rsidR="00BA1E56">
                  <w:rPr>
                    <w:rFonts w:eastAsiaTheme="minorEastAsia"/>
                    <w:color w:val="auto"/>
                    <w:sz w:val="22"/>
                    <w:lang w:eastAsia="en-AU"/>
                  </w:rPr>
                  <w:tab/>
                </w:r>
                <w:r w:rsidR="00BA1E56" w:rsidRPr="000841CF">
                  <w:rPr>
                    <w:rStyle w:val="Hyperlink"/>
                  </w:rPr>
                  <w:t>Project inception</w:t>
                </w:r>
                <w:r w:rsidR="00BA1E56">
                  <w:rPr>
                    <w:webHidden/>
                  </w:rPr>
                  <w:tab/>
                </w:r>
                <w:r w:rsidR="00BA1E56">
                  <w:rPr>
                    <w:webHidden/>
                  </w:rPr>
                  <w:fldChar w:fldCharType="begin"/>
                </w:r>
                <w:r w:rsidR="00BA1E56">
                  <w:rPr>
                    <w:webHidden/>
                  </w:rPr>
                  <w:instrText xml:space="preserve"> PAGEREF _Toc72198634 \h </w:instrText>
                </w:r>
                <w:r w:rsidR="00BA1E56">
                  <w:rPr>
                    <w:webHidden/>
                  </w:rPr>
                </w:r>
                <w:r w:rsidR="00BA1E56">
                  <w:rPr>
                    <w:webHidden/>
                  </w:rPr>
                  <w:fldChar w:fldCharType="separate"/>
                </w:r>
                <w:r w:rsidR="00BA1E56">
                  <w:rPr>
                    <w:webHidden/>
                  </w:rPr>
                  <w:t>3-3</w:t>
                </w:r>
                <w:r w:rsidR="00BA1E56">
                  <w:rPr>
                    <w:webHidden/>
                  </w:rPr>
                  <w:fldChar w:fldCharType="end"/>
                </w:r>
              </w:hyperlink>
            </w:p>
            <w:p w14:paraId="10967022" w14:textId="71EC8FF3" w:rsidR="00BA1E56" w:rsidRDefault="00D21058">
              <w:pPr>
                <w:pStyle w:val="TOC2"/>
                <w:rPr>
                  <w:rFonts w:eastAsiaTheme="minorEastAsia"/>
                  <w:color w:val="auto"/>
                  <w:sz w:val="22"/>
                  <w:lang w:eastAsia="en-AU"/>
                </w:rPr>
              </w:pPr>
              <w:hyperlink w:anchor="_Toc72198635" w:history="1">
                <w:r w:rsidR="00BA1E56" w:rsidRPr="000841CF">
                  <w:rPr>
                    <w:rStyle w:val="Hyperlink"/>
                  </w:rPr>
                  <w:t>3.5</w:t>
                </w:r>
                <w:r w:rsidR="00BA1E56">
                  <w:rPr>
                    <w:rFonts w:eastAsiaTheme="minorEastAsia"/>
                    <w:color w:val="auto"/>
                    <w:sz w:val="22"/>
                    <w:lang w:eastAsia="en-AU"/>
                  </w:rPr>
                  <w:tab/>
                </w:r>
                <w:r w:rsidR="00BA1E56" w:rsidRPr="000841CF">
                  <w:rPr>
                    <w:rStyle w:val="Hyperlink"/>
                  </w:rPr>
                  <w:t>Early investigations</w:t>
                </w:r>
                <w:r w:rsidR="00BA1E56">
                  <w:rPr>
                    <w:webHidden/>
                  </w:rPr>
                  <w:tab/>
                </w:r>
                <w:r w:rsidR="00BA1E56">
                  <w:rPr>
                    <w:webHidden/>
                  </w:rPr>
                  <w:fldChar w:fldCharType="begin"/>
                </w:r>
                <w:r w:rsidR="00BA1E56">
                  <w:rPr>
                    <w:webHidden/>
                  </w:rPr>
                  <w:instrText xml:space="preserve"> PAGEREF _Toc72198635 \h </w:instrText>
                </w:r>
                <w:r w:rsidR="00BA1E56">
                  <w:rPr>
                    <w:webHidden/>
                  </w:rPr>
                </w:r>
                <w:r w:rsidR="00BA1E56">
                  <w:rPr>
                    <w:webHidden/>
                  </w:rPr>
                  <w:fldChar w:fldCharType="separate"/>
                </w:r>
                <w:r w:rsidR="00BA1E56">
                  <w:rPr>
                    <w:webHidden/>
                  </w:rPr>
                  <w:t>3-4</w:t>
                </w:r>
                <w:r w:rsidR="00BA1E56">
                  <w:rPr>
                    <w:webHidden/>
                  </w:rPr>
                  <w:fldChar w:fldCharType="end"/>
                </w:r>
              </w:hyperlink>
            </w:p>
            <w:p w14:paraId="76588EEE" w14:textId="75E092C5" w:rsidR="00BA1E56" w:rsidRDefault="00D21058">
              <w:pPr>
                <w:pStyle w:val="TOC2"/>
                <w:rPr>
                  <w:rFonts w:eastAsiaTheme="minorEastAsia"/>
                  <w:color w:val="auto"/>
                  <w:sz w:val="22"/>
                  <w:lang w:eastAsia="en-AU"/>
                </w:rPr>
              </w:pPr>
              <w:hyperlink w:anchor="_Toc72198636" w:history="1">
                <w:r w:rsidR="00BA1E56" w:rsidRPr="000841CF">
                  <w:rPr>
                    <w:rStyle w:val="Hyperlink"/>
                  </w:rPr>
                  <w:t>3.6</w:t>
                </w:r>
                <w:r w:rsidR="00BA1E56">
                  <w:rPr>
                    <w:rFonts w:eastAsiaTheme="minorEastAsia"/>
                    <w:color w:val="auto"/>
                    <w:sz w:val="22"/>
                    <w:lang w:eastAsia="en-AU"/>
                  </w:rPr>
                  <w:tab/>
                </w:r>
                <w:r w:rsidR="00BA1E56" w:rsidRPr="000841CF">
                  <w:rPr>
                    <w:rStyle w:val="Hyperlink"/>
                  </w:rPr>
                  <w:t>Climate change considerations</w:t>
                </w:r>
                <w:r w:rsidR="00BA1E56">
                  <w:rPr>
                    <w:webHidden/>
                  </w:rPr>
                  <w:tab/>
                </w:r>
                <w:r w:rsidR="00BA1E56">
                  <w:rPr>
                    <w:webHidden/>
                  </w:rPr>
                  <w:fldChar w:fldCharType="begin"/>
                </w:r>
                <w:r w:rsidR="00BA1E56">
                  <w:rPr>
                    <w:webHidden/>
                  </w:rPr>
                  <w:instrText xml:space="preserve"> PAGEREF _Toc72198636 \h </w:instrText>
                </w:r>
                <w:r w:rsidR="00BA1E56">
                  <w:rPr>
                    <w:webHidden/>
                  </w:rPr>
                </w:r>
                <w:r w:rsidR="00BA1E56">
                  <w:rPr>
                    <w:webHidden/>
                  </w:rPr>
                  <w:fldChar w:fldCharType="separate"/>
                </w:r>
                <w:r w:rsidR="00BA1E56">
                  <w:rPr>
                    <w:webHidden/>
                  </w:rPr>
                  <w:t>3-7</w:t>
                </w:r>
                <w:r w:rsidR="00BA1E56">
                  <w:rPr>
                    <w:webHidden/>
                  </w:rPr>
                  <w:fldChar w:fldCharType="end"/>
                </w:r>
              </w:hyperlink>
            </w:p>
            <w:p w14:paraId="3E7044B6" w14:textId="3AB6C7AB" w:rsidR="00BA1E56" w:rsidRDefault="00D21058">
              <w:pPr>
                <w:pStyle w:val="TOC2"/>
                <w:rPr>
                  <w:rFonts w:eastAsiaTheme="minorEastAsia"/>
                  <w:color w:val="auto"/>
                  <w:sz w:val="22"/>
                  <w:lang w:eastAsia="en-AU"/>
                </w:rPr>
              </w:pPr>
              <w:hyperlink w:anchor="_Toc72198637" w:history="1">
                <w:r w:rsidR="00BA1E56" w:rsidRPr="000841CF">
                  <w:rPr>
                    <w:rStyle w:val="Hyperlink"/>
                  </w:rPr>
                  <w:t>3.7</w:t>
                </w:r>
                <w:r w:rsidR="00BA1E56">
                  <w:rPr>
                    <w:rFonts w:eastAsiaTheme="minorEastAsia"/>
                    <w:color w:val="auto"/>
                    <w:sz w:val="22"/>
                    <w:lang w:eastAsia="en-AU"/>
                  </w:rPr>
                  <w:tab/>
                </w:r>
                <w:r w:rsidR="00BA1E56" w:rsidRPr="000841CF">
                  <w:rPr>
                    <w:rStyle w:val="Hyperlink"/>
                  </w:rPr>
                  <w:t>Options evaluation framework</w:t>
                </w:r>
                <w:r w:rsidR="00BA1E56">
                  <w:rPr>
                    <w:webHidden/>
                  </w:rPr>
                  <w:tab/>
                </w:r>
                <w:r w:rsidR="00BA1E56">
                  <w:rPr>
                    <w:webHidden/>
                  </w:rPr>
                  <w:fldChar w:fldCharType="begin"/>
                </w:r>
                <w:r w:rsidR="00BA1E56">
                  <w:rPr>
                    <w:webHidden/>
                  </w:rPr>
                  <w:instrText xml:space="preserve"> PAGEREF _Toc72198637 \h </w:instrText>
                </w:r>
                <w:r w:rsidR="00BA1E56">
                  <w:rPr>
                    <w:webHidden/>
                  </w:rPr>
                </w:r>
                <w:r w:rsidR="00BA1E56">
                  <w:rPr>
                    <w:webHidden/>
                  </w:rPr>
                  <w:fldChar w:fldCharType="separate"/>
                </w:r>
                <w:r w:rsidR="00BA1E56">
                  <w:rPr>
                    <w:webHidden/>
                  </w:rPr>
                  <w:t>3-8</w:t>
                </w:r>
                <w:r w:rsidR="00BA1E56">
                  <w:rPr>
                    <w:webHidden/>
                  </w:rPr>
                  <w:fldChar w:fldCharType="end"/>
                </w:r>
              </w:hyperlink>
            </w:p>
            <w:p w14:paraId="7408C485" w14:textId="4E76BC0C" w:rsidR="00BA1E56" w:rsidRDefault="00D21058">
              <w:pPr>
                <w:pStyle w:val="TOC2"/>
                <w:rPr>
                  <w:rFonts w:eastAsiaTheme="minorEastAsia"/>
                  <w:color w:val="auto"/>
                  <w:sz w:val="22"/>
                  <w:lang w:eastAsia="en-AU"/>
                </w:rPr>
              </w:pPr>
              <w:hyperlink w:anchor="_Toc72198638" w:history="1">
                <w:r w:rsidR="00BA1E56" w:rsidRPr="000841CF">
                  <w:rPr>
                    <w:rStyle w:val="Hyperlink"/>
                  </w:rPr>
                  <w:t>3.8</w:t>
                </w:r>
                <w:r w:rsidR="00BA1E56">
                  <w:rPr>
                    <w:rFonts w:eastAsiaTheme="minorEastAsia"/>
                    <w:color w:val="auto"/>
                    <w:sz w:val="22"/>
                    <w:lang w:eastAsia="en-AU"/>
                  </w:rPr>
                  <w:tab/>
                </w:r>
                <w:r w:rsidR="00BA1E56" w:rsidRPr="000841CF">
                  <w:rPr>
                    <w:rStyle w:val="Hyperlink"/>
                  </w:rPr>
                  <w:t>Pipeline route options</w:t>
                </w:r>
                <w:r w:rsidR="00BA1E56">
                  <w:rPr>
                    <w:webHidden/>
                  </w:rPr>
                  <w:tab/>
                </w:r>
                <w:r w:rsidR="00BA1E56">
                  <w:rPr>
                    <w:webHidden/>
                  </w:rPr>
                  <w:fldChar w:fldCharType="begin"/>
                </w:r>
                <w:r w:rsidR="00BA1E56">
                  <w:rPr>
                    <w:webHidden/>
                  </w:rPr>
                  <w:instrText xml:space="preserve"> PAGEREF _Toc72198638 \h </w:instrText>
                </w:r>
                <w:r w:rsidR="00BA1E56">
                  <w:rPr>
                    <w:webHidden/>
                  </w:rPr>
                </w:r>
                <w:r w:rsidR="00BA1E56">
                  <w:rPr>
                    <w:webHidden/>
                  </w:rPr>
                  <w:fldChar w:fldCharType="separate"/>
                </w:r>
                <w:r w:rsidR="00BA1E56">
                  <w:rPr>
                    <w:webHidden/>
                  </w:rPr>
                  <w:t>3-9</w:t>
                </w:r>
                <w:r w:rsidR="00BA1E56">
                  <w:rPr>
                    <w:webHidden/>
                  </w:rPr>
                  <w:fldChar w:fldCharType="end"/>
                </w:r>
              </w:hyperlink>
            </w:p>
            <w:p w14:paraId="0F680A52" w14:textId="478131DC" w:rsidR="00BA1E56" w:rsidRDefault="00D21058">
              <w:pPr>
                <w:pStyle w:val="TOC2"/>
                <w:rPr>
                  <w:rFonts w:eastAsiaTheme="minorEastAsia"/>
                  <w:color w:val="auto"/>
                  <w:sz w:val="22"/>
                  <w:lang w:eastAsia="en-AU"/>
                </w:rPr>
              </w:pPr>
              <w:hyperlink w:anchor="_Toc72198639" w:history="1">
                <w:r w:rsidR="00BA1E56" w:rsidRPr="000841CF">
                  <w:rPr>
                    <w:rStyle w:val="Hyperlink"/>
                  </w:rPr>
                  <w:t>3.9</w:t>
                </w:r>
                <w:r w:rsidR="00BA1E56">
                  <w:rPr>
                    <w:rFonts w:eastAsiaTheme="minorEastAsia"/>
                    <w:color w:val="auto"/>
                    <w:sz w:val="22"/>
                    <w:lang w:eastAsia="en-AU"/>
                  </w:rPr>
                  <w:tab/>
                </w:r>
                <w:r w:rsidR="00BA1E56" w:rsidRPr="000841CF">
                  <w:rPr>
                    <w:rStyle w:val="Hyperlink"/>
                  </w:rPr>
                  <w:t>Confirmation and refinement of pipeline alignment following options assessment</w:t>
                </w:r>
                <w:r w:rsidR="00BA1E56">
                  <w:rPr>
                    <w:webHidden/>
                  </w:rPr>
                  <w:tab/>
                </w:r>
                <w:r w:rsidR="00BA1E56">
                  <w:rPr>
                    <w:webHidden/>
                  </w:rPr>
                  <w:fldChar w:fldCharType="begin"/>
                </w:r>
                <w:r w:rsidR="00BA1E56">
                  <w:rPr>
                    <w:webHidden/>
                  </w:rPr>
                  <w:instrText xml:space="preserve"> PAGEREF _Toc72198639 \h </w:instrText>
                </w:r>
                <w:r w:rsidR="00BA1E56">
                  <w:rPr>
                    <w:webHidden/>
                  </w:rPr>
                </w:r>
                <w:r w:rsidR="00BA1E56">
                  <w:rPr>
                    <w:webHidden/>
                  </w:rPr>
                  <w:fldChar w:fldCharType="separate"/>
                </w:r>
                <w:r w:rsidR="00BA1E56">
                  <w:rPr>
                    <w:webHidden/>
                  </w:rPr>
                  <w:t>3-15</w:t>
                </w:r>
                <w:r w:rsidR="00BA1E56">
                  <w:rPr>
                    <w:webHidden/>
                  </w:rPr>
                  <w:fldChar w:fldCharType="end"/>
                </w:r>
              </w:hyperlink>
            </w:p>
            <w:p w14:paraId="2560A3C3" w14:textId="36BD850C" w:rsidR="00BA1E56" w:rsidRDefault="00D21058">
              <w:pPr>
                <w:pStyle w:val="TOC3"/>
                <w:rPr>
                  <w:rFonts w:eastAsiaTheme="minorEastAsia"/>
                  <w:sz w:val="22"/>
                  <w:lang w:eastAsia="en-AU"/>
                </w:rPr>
              </w:pPr>
              <w:hyperlink w:anchor="_Toc72198640" w:history="1">
                <w:r w:rsidR="00BA1E56" w:rsidRPr="000841CF">
                  <w:rPr>
                    <w:rStyle w:val="Hyperlink"/>
                  </w:rPr>
                  <w:t>3.9.1</w:t>
                </w:r>
                <w:r w:rsidR="00BA1E56">
                  <w:rPr>
                    <w:rFonts w:eastAsiaTheme="minorEastAsia"/>
                    <w:sz w:val="22"/>
                    <w:lang w:eastAsia="en-AU"/>
                  </w:rPr>
                  <w:tab/>
                </w:r>
                <w:r w:rsidR="00BA1E56" w:rsidRPr="000841CF">
                  <w:rPr>
                    <w:rStyle w:val="Hyperlink"/>
                  </w:rPr>
                  <w:t>Confirmation of pipeline alignment</w:t>
                </w:r>
                <w:r w:rsidR="00BA1E56">
                  <w:rPr>
                    <w:webHidden/>
                  </w:rPr>
                  <w:tab/>
                </w:r>
                <w:r w:rsidR="00BA1E56">
                  <w:rPr>
                    <w:webHidden/>
                  </w:rPr>
                  <w:fldChar w:fldCharType="begin"/>
                </w:r>
                <w:r w:rsidR="00BA1E56">
                  <w:rPr>
                    <w:webHidden/>
                  </w:rPr>
                  <w:instrText xml:space="preserve"> PAGEREF _Toc72198640 \h </w:instrText>
                </w:r>
                <w:r w:rsidR="00BA1E56">
                  <w:rPr>
                    <w:webHidden/>
                  </w:rPr>
                </w:r>
                <w:r w:rsidR="00BA1E56">
                  <w:rPr>
                    <w:webHidden/>
                  </w:rPr>
                  <w:fldChar w:fldCharType="separate"/>
                </w:r>
                <w:r w:rsidR="00BA1E56">
                  <w:rPr>
                    <w:webHidden/>
                  </w:rPr>
                  <w:t>3-15</w:t>
                </w:r>
                <w:r w:rsidR="00BA1E56">
                  <w:rPr>
                    <w:webHidden/>
                  </w:rPr>
                  <w:fldChar w:fldCharType="end"/>
                </w:r>
              </w:hyperlink>
            </w:p>
            <w:p w14:paraId="07773D9F" w14:textId="4B911601" w:rsidR="00BA1E56" w:rsidRDefault="00D21058">
              <w:pPr>
                <w:pStyle w:val="TOC3"/>
                <w:rPr>
                  <w:rFonts w:eastAsiaTheme="minorEastAsia"/>
                  <w:sz w:val="22"/>
                  <w:lang w:eastAsia="en-AU"/>
                </w:rPr>
              </w:pPr>
              <w:hyperlink w:anchor="_Toc72198641" w:history="1">
                <w:r w:rsidR="00BA1E56" w:rsidRPr="000841CF">
                  <w:rPr>
                    <w:rStyle w:val="Hyperlink"/>
                  </w:rPr>
                  <w:t>3.9.2</w:t>
                </w:r>
                <w:r w:rsidR="00BA1E56">
                  <w:rPr>
                    <w:rFonts w:eastAsiaTheme="minorEastAsia"/>
                    <w:sz w:val="22"/>
                    <w:lang w:eastAsia="en-AU"/>
                  </w:rPr>
                  <w:tab/>
                </w:r>
                <w:r w:rsidR="00BA1E56" w:rsidRPr="000841CF">
                  <w:rPr>
                    <w:rStyle w:val="Hyperlink"/>
                  </w:rPr>
                  <w:t>Refinement of pipeline alignment</w:t>
                </w:r>
                <w:r w:rsidR="00BA1E56">
                  <w:rPr>
                    <w:webHidden/>
                  </w:rPr>
                  <w:tab/>
                </w:r>
                <w:r w:rsidR="00BA1E56">
                  <w:rPr>
                    <w:webHidden/>
                  </w:rPr>
                  <w:fldChar w:fldCharType="begin"/>
                </w:r>
                <w:r w:rsidR="00BA1E56">
                  <w:rPr>
                    <w:webHidden/>
                  </w:rPr>
                  <w:instrText xml:space="preserve"> PAGEREF _Toc72198641 \h </w:instrText>
                </w:r>
                <w:r w:rsidR="00BA1E56">
                  <w:rPr>
                    <w:webHidden/>
                  </w:rPr>
                </w:r>
                <w:r w:rsidR="00BA1E56">
                  <w:rPr>
                    <w:webHidden/>
                  </w:rPr>
                  <w:fldChar w:fldCharType="separate"/>
                </w:r>
                <w:r w:rsidR="00BA1E56">
                  <w:rPr>
                    <w:webHidden/>
                  </w:rPr>
                  <w:t>3-16</w:t>
                </w:r>
                <w:r w:rsidR="00BA1E56">
                  <w:rPr>
                    <w:webHidden/>
                  </w:rPr>
                  <w:fldChar w:fldCharType="end"/>
                </w:r>
              </w:hyperlink>
            </w:p>
            <w:p w14:paraId="04839EB5" w14:textId="2154F345" w:rsidR="00BA1E56" w:rsidRDefault="00D21058">
              <w:pPr>
                <w:pStyle w:val="TOC2"/>
                <w:rPr>
                  <w:rFonts w:eastAsiaTheme="minorEastAsia"/>
                  <w:color w:val="auto"/>
                  <w:sz w:val="22"/>
                  <w:lang w:eastAsia="en-AU"/>
                </w:rPr>
              </w:pPr>
              <w:hyperlink w:anchor="_Toc72198642" w:history="1">
                <w:r w:rsidR="00BA1E56" w:rsidRPr="000841CF">
                  <w:rPr>
                    <w:rStyle w:val="Hyperlink"/>
                  </w:rPr>
                  <w:t>3.10</w:t>
                </w:r>
                <w:r w:rsidR="00BA1E56">
                  <w:rPr>
                    <w:rFonts w:eastAsiaTheme="minorEastAsia"/>
                    <w:color w:val="auto"/>
                    <w:sz w:val="22"/>
                    <w:lang w:eastAsia="en-AU"/>
                  </w:rPr>
                  <w:tab/>
                </w:r>
                <w:r w:rsidR="00BA1E56" w:rsidRPr="000841CF">
                  <w:rPr>
                    <w:rStyle w:val="Hyperlink"/>
                  </w:rPr>
                  <w:t>Confirmation of above ground facilities</w:t>
                </w:r>
                <w:r w:rsidR="00BA1E56">
                  <w:rPr>
                    <w:webHidden/>
                  </w:rPr>
                  <w:tab/>
                </w:r>
                <w:r w:rsidR="00BA1E56">
                  <w:rPr>
                    <w:webHidden/>
                  </w:rPr>
                  <w:fldChar w:fldCharType="begin"/>
                </w:r>
                <w:r w:rsidR="00BA1E56">
                  <w:rPr>
                    <w:webHidden/>
                  </w:rPr>
                  <w:instrText xml:space="preserve"> PAGEREF _Toc72198642 \h </w:instrText>
                </w:r>
                <w:r w:rsidR="00BA1E56">
                  <w:rPr>
                    <w:webHidden/>
                  </w:rPr>
                </w:r>
                <w:r w:rsidR="00BA1E56">
                  <w:rPr>
                    <w:webHidden/>
                  </w:rPr>
                  <w:fldChar w:fldCharType="separate"/>
                </w:r>
                <w:r w:rsidR="00BA1E56">
                  <w:rPr>
                    <w:webHidden/>
                  </w:rPr>
                  <w:t>3-20</w:t>
                </w:r>
                <w:r w:rsidR="00BA1E56">
                  <w:rPr>
                    <w:webHidden/>
                  </w:rPr>
                  <w:fldChar w:fldCharType="end"/>
                </w:r>
              </w:hyperlink>
            </w:p>
            <w:p w14:paraId="486C4418" w14:textId="028B89A1" w:rsidR="00BA1E56" w:rsidRDefault="00D21058">
              <w:pPr>
                <w:pStyle w:val="TOC2"/>
                <w:rPr>
                  <w:rFonts w:eastAsiaTheme="minorEastAsia"/>
                  <w:color w:val="auto"/>
                  <w:sz w:val="22"/>
                  <w:lang w:eastAsia="en-AU"/>
                </w:rPr>
              </w:pPr>
              <w:hyperlink w:anchor="_Toc72198643" w:history="1">
                <w:r w:rsidR="00BA1E56" w:rsidRPr="000841CF">
                  <w:rPr>
                    <w:rStyle w:val="Hyperlink"/>
                  </w:rPr>
                  <w:t>3.11</w:t>
                </w:r>
                <w:r w:rsidR="00BA1E56">
                  <w:rPr>
                    <w:rFonts w:eastAsiaTheme="minorEastAsia"/>
                    <w:color w:val="auto"/>
                    <w:sz w:val="22"/>
                    <w:lang w:eastAsia="en-AU"/>
                  </w:rPr>
                  <w:tab/>
                </w:r>
                <w:r w:rsidR="00BA1E56" w:rsidRPr="000841CF">
                  <w:rPr>
                    <w:rStyle w:val="Hyperlink"/>
                  </w:rPr>
                  <w:t>Development of design and construction methodology</w:t>
                </w:r>
                <w:r w:rsidR="00BA1E56">
                  <w:rPr>
                    <w:webHidden/>
                  </w:rPr>
                  <w:tab/>
                </w:r>
                <w:r w:rsidR="00BA1E56">
                  <w:rPr>
                    <w:webHidden/>
                  </w:rPr>
                  <w:fldChar w:fldCharType="begin"/>
                </w:r>
                <w:r w:rsidR="00BA1E56">
                  <w:rPr>
                    <w:webHidden/>
                  </w:rPr>
                  <w:instrText xml:space="preserve"> PAGEREF _Toc72198643 \h </w:instrText>
                </w:r>
                <w:r w:rsidR="00BA1E56">
                  <w:rPr>
                    <w:webHidden/>
                  </w:rPr>
                </w:r>
                <w:r w:rsidR="00BA1E56">
                  <w:rPr>
                    <w:webHidden/>
                  </w:rPr>
                  <w:fldChar w:fldCharType="separate"/>
                </w:r>
                <w:r w:rsidR="00BA1E56">
                  <w:rPr>
                    <w:webHidden/>
                  </w:rPr>
                  <w:t>3-20</w:t>
                </w:r>
                <w:r w:rsidR="00BA1E56">
                  <w:rPr>
                    <w:webHidden/>
                  </w:rPr>
                  <w:fldChar w:fldCharType="end"/>
                </w:r>
              </w:hyperlink>
            </w:p>
            <w:p w14:paraId="7C7D2B5A" w14:textId="7FD8B1AF" w:rsidR="00BA1E56" w:rsidRDefault="00D21058">
              <w:pPr>
                <w:pStyle w:val="TOC3"/>
                <w:rPr>
                  <w:rFonts w:eastAsiaTheme="minorEastAsia"/>
                  <w:sz w:val="22"/>
                  <w:lang w:eastAsia="en-AU"/>
                </w:rPr>
              </w:pPr>
              <w:hyperlink w:anchor="_Toc72198644" w:history="1">
                <w:r w:rsidR="00BA1E56" w:rsidRPr="000841CF">
                  <w:rPr>
                    <w:rStyle w:val="Hyperlink"/>
                  </w:rPr>
                  <w:t>3.11.1</w:t>
                </w:r>
                <w:r w:rsidR="00BA1E56">
                  <w:rPr>
                    <w:rFonts w:eastAsiaTheme="minorEastAsia"/>
                    <w:sz w:val="22"/>
                    <w:lang w:eastAsia="en-AU"/>
                  </w:rPr>
                  <w:tab/>
                </w:r>
                <w:r w:rsidR="00BA1E56" w:rsidRPr="000841CF">
                  <w:rPr>
                    <w:rStyle w:val="Hyperlink"/>
                  </w:rPr>
                  <w:t>Pipeline diameter</w:t>
                </w:r>
                <w:r w:rsidR="00BA1E56">
                  <w:rPr>
                    <w:webHidden/>
                  </w:rPr>
                  <w:tab/>
                </w:r>
                <w:r w:rsidR="00BA1E56">
                  <w:rPr>
                    <w:webHidden/>
                  </w:rPr>
                  <w:fldChar w:fldCharType="begin"/>
                </w:r>
                <w:r w:rsidR="00BA1E56">
                  <w:rPr>
                    <w:webHidden/>
                  </w:rPr>
                  <w:instrText xml:space="preserve"> PAGEREF _Toc72198644 \h </w:instrText>
                </w:r>
                <w:r w:rsidR="00BA1E56">
                  <w:rPr>
                    <w:webHidden/>
                  </w:rPr>
                </w:r>
                <w:r w:rsidR="00BA1E56">
                  <w:rPr>
                    <w:webHidden/>
                  </w:rPr>
                  <w:fldChar w:fldCharType="separate"/>
                </w:r>
                <w:r w:rsidR="00BA1E56">
                  <w:rPr>
                    <w:webHidden/>
                  </w:rPr>
                  <w:t>3-20</w:t>
                </w:r>
                <w:r w:rsidR="00BA1E56">
                  <w:rPr>
                    <w:webHidden/>
                  </w:rPr>
                  <w:fldChar w:fldCharType="end"/>
                </w:r>
              </w:hyperlink>
            </w:p>
            <w:p w14:paraId="68F50558" w14:textId="4DAB17C9" w:rsidR="00BA1E56" w:rsidRDefault="00D21058">
              <w:pPr>
                <w:pStyle w:val="TOC3"/>
                <w:rPr>
                  <w:rFonts w:eastAsiaTheme="minorEastAsia"/>
                  <w:sz w:val="22"/>
                  <w:lang w:eastAsia="en-AU"/>
                </w:rPr>
              </w:pPr>
              <w:hyperlink w:anchor="_Toc72198645" w:history="1">
                <w:r w:rsidR="00BA1E56" w:rsidRPr="000841CF">
                  <w:rPr>
                    <w:rStyle w:val="Hyperlink"/>
                  </w:rPr>
                  <w:t>3.11.2</w:t>
                </w:r>
                <w:r w:rsidR="00BA1E56">
                  <w:rPr>
                    <w:rFonts w:eastAsiaTheme="minorEastAsia"/>
                    <w:sz w:val="22"/>
                    <w:lang w:eastAsia="en-AU"/>
                  </w:rPr>
                  <w:tab/>
                </w:r>
                <w:r w:rsidR="00BA1E56" w:rsidRPr="000841CF">
                  <w:rPr>
                    <w:rStyle w:val="Hyperlink"/>
                  </w:rPr>
                  <w:t>Compressor technology and engine alternators at Wollert Compressor Station</w:t>
                </w:r>
                <w:r w:rsidR="00BA1E56">
                  <w:rPr>
                    <w:webHidden/>
                  </w:rPr>
                  <w:tab/>
                </w:r>
                <w:r w:rsidR="00BA1E56">
                  <w:rPr>
                    <w:webHidden/>
                  </w:rPr>
                  <w:fldChar w:fldCharType="begin"/>
                </w:r>
                <w:r w:rsidR="00BA1E56">
                  <w:rPr>
                    <w:webHidden/>
                  </w:rPr>
                  <w:instrText xml:space="preserve"> PAGEREF _Toc72198645 \h </w:instrText>
                </w:r>
                <w:r w:rsidR="00BA1E56">
                  <w:rPr>
                    <w:webHidden/>
                  </w:rPr>
                </w:r>
                <w:r w:rsidR="00BA1E56">
                  <w:rPr>
                    <w:webHidden/>
                  </w:rPr>
                  <w:fldChar w:fldCharType="separate"/>
                </w:r>
                <w:r w:rsidR="00BA1E56">
                  <w:rPr>
                    <w:webHidden/>
                  </w:rPr>
                  <w:t>3-21</w:t>
                </w:r>
                <w:r w:rsidR="00BA1E56">
                  <w:rPr>
                    <w:webHidden/>
                  </w:rPr>
                  <w:fldChar w:fldCharType="end"/>
                </w:r>
              </w:hyperlink>
            </w:p>
            <w:p w14:paraId="1ADADF4E" w14:textId="24776D75" w:rsidR="00BA1E56" w:rsidRDefault="00D21058">
              <w:pPr>
                <w:pStyle w:val="TOC3"/>
                <w:rPr>
                  <w:rFonts w:eastAsiaTheme="minorEastAsia"/>
                  <w:sz w:val="22"/>
                  <w:lang w:eastAsia="en-AU"/>
                </w:rPr>
              </w:pPr>
              <w:hyperlink w:anchor="_Toc72198646" w:history="1">
                <w:r w:rsidR="00BA1E56" w:rsidRPr="000841CF">
                  <w:rPr>
                    <w:rStyle w:val="Hyperlink"/>
                  </w:rPr>
                  <w:t>3.11.3</w:t>
                </w:r>
                <w:r w:rsidR="00BA1E56">
                  <w:rPr>
                    <w:rFonts w:eastAsiaTheme="minorEastAsia"/>
                    <w:sz w:val="22"/>
                    <w:lang w:eastAsia="en-AU"/>
                  </w:rPr>
                  <w:tab/>
                </w:r>
                <w:r w:rsidR="00BA1E56" w:rsidRPr="000841CF">
                  <w:rPr>
                    <w:rStyle w:val="Hyperlink"/>
                  </w:rPr>
                  <w:t>Pipeline depth</w:t>
                </w:r>
                <w:r w:rsidR="00BA1E56">
                  <w:rPr>
                    <w:webHidden/>
                  </w:rPr>
                  <w:tab/>
                </w:r>
                <w:r w:rsidR="00BA1E56">
                  <w:rPr>
                    <w:webHidden/>
                  </w:rPr>
                  <w:fldChar w:fldCharType="begin"/>
                </w:r>
                <w:r w:rsidR="00BA1E56">
                  <w:rPr>
                    <w:webHidden/>
                  </w:rPr>
                  <w:instrText xml:space="preserve"> PAGEREF _Toc72198646 \h </w:instrText>
                </w:r>
                <w:r w:rsidR="00BA1E56">
                  <w:rPr>
                    <w:webHidden/>
                  </w:rPr>
                </w:r>
                <w:r w:rsidR="00BA1E56">
                  <w:rPr>
                    <w:webHidden/>
                  </w:rPr>
                  <w:fldChar w:fldCharType="separate"/>
                </w:r>
                <w:r w:rsidR="00BA1E56">
                  <w:rPr>
                    <w:webHidden/>
                  </w:rPr>
                  <w:t>3-22</w:t>
                </w:r>
                <w:r w:rsidR="00BA1E56">
                  <w:rPr>
                    <w:webHidden/>
                  </w:rPr>
                  <w:fldChar w:fldCharType="end"/>
                </w:r>
              </w:hyperlink>
            </w:p>
            <w:p w14:paraId="59B5811C" w14:textId="1197A3C2" w:rsidR="00BA1E56" w:rsidRDefault="00D21058">
              <w:pPr>
                <w:pStyle w:val="TOC3"/>
                <w:rPr>
                  <w:rFonts w:eastAsiaTheme="minorEastAsia"/>
                  <w:sz w:val="22"/>
                  <w:lang w:eastAsia="en-AU"/>
                </w:rPr>
              </w:pPr>
              <w:hyperlink w:anchor="_Toc72198647" w:history="1">
                <w:r w:rsidR="00BA1E56" w:rsidRPr="000841CF">
                  <w:rPr>
                    <w:rStyle w:val="Hyperlink"/>
                  </w:rPr>
                  <w:t>3.11.4</w:t>
                </w:r>
                <w:r w:rsidR="00BA1E56">
                  <w:rPr>
                    <w:rFonts w:eastAsiaTheme="minorEastAsia"/>
                    <w:sz w:val="22"/>
                    <w:lang w:eastAsia="en-AU"/>
                  </w:rPr>
                  <w:tab/>
                </w:r>
                <w:r w:rsidR="00BA1E56" w:rsidRPr="000841CF">
                  <w:rPr>
                    <w:rStyle w:val="Hyperlink"/>
                  </w:rPr>
                  <w:t>Construction methodology</w:t>
                </w:r>
                <w:r w:rsidR="00BA1E56">
                  <w:rPr>
                    <w:webHidden/>
                  </w:rPr>
                  <w:tab/>
                </w:r>
                <w:r w:rsidR="00BA1E56">
                  <w:rPr>
                    <w:webHidden/>
                  </w:rPr>
                  <w:fldChar w:fldCharType="begin"/>
                </w:r>
                <w:r w:rsidR="00BA1E56">
                  <w:rPr>
                    <w:webHidden/>
                  </w:rPr>
                  <w:instrText xml:space="preserve"> PAGEREF _Toc72198647 \h </w:instrText>
                </w:r>
                <w:r w:rsidR="00BA1E56">
                  <w:rPr>
                    <w:webHidden/>
                  </w:rPr>
                </w:r>
                <w:r w:rsidR="00BA1E56">
                  <w:rPr>
                    <w:webHidden/>
                  </w:rPr>
                  <w:fldChar w:fldCharType="separate"/>
                </w:r>
                <w:r w:rsidR="00BA1E56">
                  <w:rPr>
                    <w:webHidden/>
                  </w:rPr>
                  <w:t>3-23</w:t>
                </w:r>
                <w:r w:rsidR="00BA1E56">
                  <w:rPr>
                    <w:webHidden/>
                  </w:rPr>
                  <w:fldChar w:fldCharType="end"/>
                </w:r>
              </w:hyperlink>
            </w:p>
            <w:p w14:paraId="2326FDD8" w14:textId="3AE4F8B5" w:rsidR="00BA1E56" w:rsidRDefault="00D21058">
              <w:pPr>
                <w:pStyle w:val="TOC2"/>
                <w:rPr>
                  <w:rFonts w:eastAsiaTheme="minorEastAsia"/>
                  <w:color w:val="auto"/>
                  <w:sz w:val="22"/>
                  <w:lang w:eastAsia="en-AU"/>
                </w:rPr>
              </w:pPr>
              <w:hyperlink w:anchor="_Toc72198648" w:history="1">
                <w:r w:rsidR="00BA1E56" w:rsidRPr="000841CF">
                  <w:rPr>
                    <w:rStyle w:val="Hyperlink"/>
                  </w:rPr>
                  <w:t>3.12</w:t>
                </w:r>
                <w:r w:rsidR="00BA1E56">
                  <w:rPr>
                    <w:rFonts w:eastAsiaTheme="minorEastAsia"/>
                    <w:color w:val="auto"/>
                    <w:sz w:val="22"/>
                    <w:lang w:eastAsia="en-AU"/>
                  </w:rPr>
                  <w:tab/>
                </w:r>
                <w:r w:rsidR="00BA1E56" w:rsidRPr="000841CF">
                  <w:rPr>
                    <w:rStyle w:val="Hyperlink"/>
                  </w:rPr>
                  <w:t>Obtain regulatory approvals</w:t>
                </w:r>
                <w:r w:rsidR="00BA1E56">
                  <w:rPr>
                    <w:webHidden/>
                  </w:rPr>
                  <w:tab/>
                </w:r>
                <w:r w:rsidR="00BA1E56">
                  <w:rPr>
                    <w:webHidden/>
                  </w:rPr>
                  <w:fldChar w:fldCharType="begin"/>
                </w:r>
                <w:r w:rsidR="00BA1E56">
                  <w:rPr>
                    <w:webHidden/>
                  </w:rPr>
                  <w:instrText xml:space="preserve"> PAGEREF _Toc72198648 \h </w:instrText>
                </w:r>
                <w:r w:rsidR="00BA1E56">
                  <w:rPr>
                    <w:webHidden/>
                  </w:rPr>
                </w:r>
                <w:r w:rsidR="00BA1E56">
                  <w:rPr>
                    <w:webHidden/>
                  </w:rPr>
                  <w:fldChar w:fldCharType="separate"/>
                </w:r>
                <w:r w:rsidR="00BA1E56">
                  <w:rPr>
                    <w:webHidden/>
                  </w:rPr>
                  <w:t>3-31</w:t>
                </w:r>
                <w:r w:rsidR="00BA1E56">
                  <w:rPr>
                    <w:webHidden/>
                  </w:rPr>
                  <w:fldChar w:fldCharType="end"/>
                </w:r>
              </w:hyperlink>
            </w:p>
            <w:p w14:paraId="29E505D0" w14:textId="223586AD" w:rsidR="00BA1E56" w:rsidRDefault="00D21058">
              <w:pPr>
                <w:pStyle w:val="TOC2"/>
                <w:rPr>
                  <w:rFonts w:eastAsiaTheme="minorEastAsia"/>
                  <w:color w:val="auto"/>
                  <w:sz w:val="22"/>
                  <w:lang w:eastAsia="en-AU"/>
                </w:rPr>
              </w:pPr>
              <w:hyperlink w:anchor="_Toc72198649" w:history="1">
                <w:r w:rsidR="00BA1E56" w:rsidRPr="000841CF">
                  <w:rPr>
                    <w:rStyle w:val="Hyperlink"/>
                  </w:rPr>
                  <w:t>3.13</w:t>
                </w:r>
                <w:r w:rsidR="00BA1E56">
                  <w:rPr>
                    <w:rFonts w:eastAsiaTheme="minorEastAsia"/>
                    <w:color w:val="auto"/>
                    <w:sz w:val="22"/>
                    <w:lang w:eastAsia="en-AU"/>
                  </w:rPr>
                  <w:tab/>
                </w:r>
                <w:r w:rsidR="00BA1E56" w:rsidRPr="000841CF">
                  <w:rPr>
                    <w:rStyle w:val="Hyperlink"/>
                  </w:rPr>
                  <w:t>Construction and operation of pipeline</w:t>
                </w:r>
                <w:r w:rsidR="00BA1E56">
                  <w:rPr>
                    <w:webHidden/>
                  </w:rPr>
                  <w:tab/>
                </w:r>
                <w:r w:rsidR="00BA1E56">
                  <w:rPr>
                    <w:webHidden/>
                  </w:rPr>
                  <w:fldChar w:fldCharType="begin"/>
                </w:r>
                <w:r w:rsidR="00BA1E56">
                  <w:rPr>
                    <w:webHidden/>
                  </w:rPr>
                  <w:instrText xml:space="preserve"> PAGEREF _Toc72198649 \h </w:instrText>
                </w:r>
                <w:r w:rsidR="00BA1E56">
                  <w:rPr>
                    <w:webHidden/>
                  </w:rPr>
                </w:r>
                <w:r w:rsidR="00BA1E56">
                  <w:rPr>
                    <w:webHidden/>
                  </w:rPr>
                  <w:fldChar w:fldCharType="separate"/>
                </w:r>
                <w:r w:rsidR="00BA1E56">
                  <w:rPr>
                    <w:webHidden/>
                  </w:rPr>
                  <w:t>3-31</w:t>
                </w:r>
                <w:r w:rsidR="00BA1E56">
                  <w:rPr>
                    <w:webHidden/>
                  </w:rPr>
                  <w:fldChar w:fldCharType="end"/>
                </w:r>
              </w:hyperlink>
            </w:p>
            <w:p w14:paraId="521CB4D5" w14:textId="32391017" w:rsidR="00BA1E56" w:rsidRDefault="00D21058">
              <w:pPr>
                <w:pStyle w:val="TOC2"/>
                <w:rPr>
                  <w:rFonts w:eastAsiaTheme="minorEastAsia"/>
                  <w:color w:val="auto"/>
                  <w:sz w:val="22"/>
                  <w:lang w:eastAsia="en-AU"/>
                </w:rPr>
              </w:pPr>
              <w:hyperlink w:anchor="_Toc72198650" w:history="1">
                <w:r w:rsidR="00BA1E56" w:rsidRPr="000841CF">
                  <w:rPr>
                    <w:rStyle w:val="Hyperlink"/>
                  </w:rPr>
                  <w:t>3.14</w:t>
                </w:r>
                <w:r w:rsidR="00BA1E56">
                  <w:rPr>
                    <w:rFonts w:eastAsiaTheme="minorEastAsia"/>
                    <w:color w:val="auto"/>
                    <w:sz w:val="22"/>
                    <w:lang w:eastAsia="en-AU"/>
                  </w:rPr>
                  <w:tab/>
                </w:r>
                <w:r w:rsidR="00BA1E56" w:rsidRPr="000841CF">
                  <w:rPr>
                    <w:rStyle w:val="Hyperlink"/>
                  </w:rPr>
                  <w:t>What if the Project does not proceed (‘no</w:t>
                </w:r>
                <w:r w:rsidR="00BA1E56" w:rsidRPr="000841CF">
                  <w:rPr>
                    <w:rStyle w:val="Hyperlink"/>
                  </w:rPr>
                  <w:noBreakHyphen/>
                  <w:t>project’ scenario)?</w:t>
                </w:r>
                <w:r w:rsidR="00BA1E56">
                  <w:rPr>
                    <w:webHidden/>
                  </w:rPr>
                  <w:tab/>
                </w:r>
                <w:r w:rsidR="00BA1E56">
                  <w:rPr>
                    <w:webHidden/>
                  </w:rPr>
                  <w:fldChar w:fldCharType="begin"/>
                </w:r>
                <w:r w:rsidR="00BA1E56">
                  <w:rPr>
                    <w:webHidden/>
                  </w:rPr>
                  <w:instrText xml:space="preserve"> PAGEREF _Toc72198650 \h </w:instrText>
                </w:r>
                <w:r w:rsidR="00BA1E56">
                  <w:rPr>
                    <w:webHidden/>
                  </w:rPr>
                </w:r>
                <w:r w:rsidR="00BA1E56">
                  <w:rPr>
                    <w:webHidden/>
                  </w:rPr>
                  <w:fldChar w:fldCharType="separate"/>
                </w:r>
                <w:r w:rsidR="00BA1E56">
                  <w:rPr>
                    <w:webHidden/>
                  </w:rPr>
                  <w:t>3-31</w:t>
                </w:r>
                <w:r w:rsidR="00BA1E56">
                  <w:rPr>
                    <w:webHidden/>
                  </w:rPr>
                  <w:fldChar w:fldCharType="end"/>
                </w:r>
              </w:hyperlink>
            </w:p>
            <w:p w14:paraId="170F31C0" w14:textId="32523907" w:rsidR="003C209D" w:rsidRPr="000E7A0C" w:rsidRDefault="003C209D" w:rsidP="003C209D">
              <w:pPr>
                <w:pStyle w:val="TOC2"/>
              </w:pPr>
              <w:r w:rsidRPr="000E7A0C">
                <w:fldChar w:fldCharType="end"/>
              </w:r>
            </w:p>
          </w:sdtContent>
        </w:sdt>
      </w:sdtContent>
    </w:sdt>
    <w:p w14:paraId="5498932E" w14:textId="30CA154D" w:rsidR="00563D40" w:rsidRDefault="00563D40" w:rsidP="00563D40">
      <w:pPr>
        <w:pStyle w:val="BodyText"/>
      </w:pPr>
      <w:bookmarkStart w:id="4" w:name="_Toc62758911"/>
      <w:bookmarkEnd w:id="3"/>
      <w:bookmarkEnd w:id="2"/>
    </w:p>
    <w:p w14:paraId="592AB2E5" w14:textId="77777777" w:rsidR="00563D40" w:rsidRDefault="00563D40" w:rsidP="00563D40">
      <w:pPr>
        <w:pStyle w:val="BodyText"/>
        <w:sectPr w:rsidR="00563D40" w:rsidSect="003C209D">
          <w:headerReference w:type="first" r:id="rId18"/>
          <w:type w:val="oddPage"/>
          <w:pgSz w:w="11906" w:h="16838" w:code="9"/>
          <w:pgMar w:top="1418" w:right="1418" w:bottom="1418" w:left="1418" w:header="567" w:footer="567" w:gutter="0"/>
          <w:pgNumType w:fmt="lowerRoman" w:start="1"/>
          <w:cols w:space="708"/>
          <w:docGrid w:linePitch="360"/>
        </w:sectPr>
      </w:pPr>
    </w:p>
    <w:p w14:paraId="58FD0DDA" w14:textId="19906C54" w:rsidR="00D61D7B" w:rsidRPr="00D61D7B" w:rsidRDefault="00D61D7B" w:rsidP="00BA1E56">
      <w:pPr>
        <w:pStyle w:val="Heading2"/>
        <w:spacing w:before="0"/>
      </w:pPr>
      <w:bookmarkStart w:id="5" w:name="_Toc71242065"/>
      <w:bookmarkStart w:id="6" w:name="_Toc72198631"/>
      <w:r w:rsidRPr="00D61D7B">
        <w:lastRenderedPageBreak/>
        <w:t>Introduction</w:t>
      </w:r>
      <w:bookmarkEnd w:id="4"/>
      <w:bookmarkEnd w:id="5"/>
      <w:bookmarkEnd w:id="6"/>
    </w:p>
    <w:p w14:paraId="7F094D3E" w14:textId="77777777" w:rsidR="00D61D7B" w:rsidRPr="00D61D7B" w:rsidRDefault="00D61D7B" w:rsidP="00D61D7B">
      <w:pPr>
        <w:pStyle w:val="BodyText"/>
      </w:pPr>
      <w:r w:rsidRPr="00D61D7B">
        <w:t xml:space="preserve">This chapter describes the development of the Western Outer Ring Main Project (the Project) and explains how the current form of the Project was selected for assessment in this Environment Effects Statement (EES). </w:t>
      </w:r>
    </w:p>
    <w:p w14:paraId="6DA9B9C5" w14:textId="2C13CD75" w:rsidR="00F71410" w:rsidRDefault="00D61D7B" w:rsidP="00D61D7B">
      <w:pPr>
        <w:pStyle w:val="BodyText"/>
      </w:pPr>
      <w:r w:rsidRPr="00D61D7B">
        <w:t>The EES scoping requirements for the Project require that the proponent document the process undertaken to identify and assess project alternatives and designs, including how and why alternatives were shortlisted or discounted. The scoping requirements state that the depth of investigation of alternatives should be proportionate to their potential to minimise potential adverse effects as well as meet the Project objectives.</w:t>
      </w:r>
      <w:r w:rsidR="000D0880">
        <w:t xml:space="preserve"> </w:t>
      </w:r>
      <w:r w:rsidRPr="00D61D7B">
        <w:t xml:space="preserve">In addition, the scoping requirements require a discussion of the implications for Victoria should </w:t>
      </w:r>
      <w:r w:rsidR="0006658D">
        <w:t>the Project</w:t>
      </w:r>
      <w:r w:rsidRPr="00D61D7B">
        <w:t xml:space="preserve"> not proceed. </w:t>
      </w:r>
      <w:r w:rsidR="007210C3" w:rsidRPr="007210C3">
        <w:t>Alternatives assessed and summarised in this chapter are focused on pipeline alignment alternatives</w:t>
      </w:r>
      <w:r w:rsidR="00EC0807">
        <w:t xml:space="preserve"> and construction methodologies</w:t>
      </w:r>
      <w:r w:rsidR="007210C3" w:rsidRPr="007210C3">
        <w:t>.</w:t>
      </w:r>
      <w:r w:rsidR="007210C3">
        <w:t xml:space="preserve"> </w:t>
      </w:r>
    </w:p>
    <w:p w14:paraId="4E6FDED2" w14:textId="6D602B8D" w:rsidR="00D61D7B" w:rsidRPr="00D61D7B" w:rsidRDefault="00D61D7B" w:rsidP="00D61D7B">
      <w:pPr>
        <w:pStyle w:val="BodyText"/>
      </w:pPr>
      <w:r w:rsidRPr="00D61D7B">
        <w:t xml:space="preserve">The rationale for </w:t>
      </w:r>
      <w:r w:rsidR="0006658D">
        <w:t>the Project</w:t>
      </w:r>
      <w:r w:rsidRPr="00D61D7B">
        <w:t xml:space="preserve"> and implications should </w:t>
      </w:r>
      <w:r w:rsidR="0006658D">
        <w:t>the Project</w:t>
      </w:r>
      <w:r w:rsidRPr="00D61D7B">
        <w:t xml:space="preserve"> not proceed are outlined in Chapter 2</w:t>
      </w:r>
      <w:r w:rsidR="001E2E50">
        <w:t xml:space="preserve"> </w:t>
      </w:r>
      <w:r w:rsidR="001E2E50" w:rsidRPr="003C74B1">
        <w:rPr>
          <w:rStyle w:val="Italics"/>
        </w:rPr>
        <w:t>Project rationale</w:t>
      </w:r>
      <w:r w:rsidRPr="00D61D7B">
        <w:t xml:space="preserve">. </w:t>
      </w:r>
    </w:p>
    <w:p w14:paraId="34C3F2CF" w14:textId="77777777" w:rsidR="00D61D7B" w:rsidRPr="00D61D7B" w:rsidRDefault="00D61D7B" w:rsidP="00D61D7B">
      <w:pPr>
        <w:pStyle w:val="Heading2"/>
      </w:pPr>
      <w:bookmarkStart w:id="7" w:name="_Ref47610692"/>
      <w:bookmarkStart w:id="8" w:name="_Toc62758912"/>
      <w:bookmarkStart w:id="9" w:name="_Toc71242066"/>
      <w:bookmarkStart w:id="10" w:name="_Toc72198632"/>
      <w:r>
        <w:t>P</w:t>
      </w:r>
      <w:r w:rsidRPr="00D61D7B">
        <w:t>roject history</w:t>
      </w:r>
      <w:bookmarkEnd w:id="7"/>
      <w:bookmarkEnd w:id="8"/>
      <w:bookmarkEnd w:id="9"/>
      <w:bookmarkEnd w:id="10"/>
    </w:p>
    <w:p w14:paraId="5C46C4D7" w14:textId="77777777" w:rsidR="00D61D7B" w:rsidRDefault="00D61D7B" w:rsidP="00D61D7B">
      <w:pPr>
        <w:pStyle w:val="BodyText"/>
      </w:pPr>
      <w:r>
        <w:t>Prior to the creation of the WORM project which forms the subject of this EES, the anticipated need for a high-pressure pipeline loop between the west and the north/east was first identified by APA and discussed with the Australian Energy Regulator (AER) over ten years ago.</w:t>
      </w:r>
    </w:p>
    <w:p w14:paraId="14125933" w14:textId="7E1048E5" w:rsidR="00D61D7B" w:rsidRDefault="00D61D7B" w:rsidP="00D61D7B">
      <w:pPr>
        <w:pStyle w:val="BodyText"/>
      </w:pPr>
      <w:r>
        <w:t xml:space="preserve">In January 2017, APA submitted a business case to the AER focused on securing an easement for the </w:t>
      </w:r>
      <w:r w:rsidR="0006658D">
        <w:t>Project</w:t>
      </w:r>
      <w:r>
        <w:t xml:space="preserve">. This business case was based on the expectation that the </w:t>
      </w:r>
      <w:r w:rsidR="0006658D">
        <w:t xml:space="preserve">Project </w:t>
      </w:r>
      <w:r>
        <w:t>would be a critical project needed for Victoria in the future, and that securing land for this infrastructure would be increasingly difficult over</w:t>
      </w:r>
      <w:r w:rsidR="000157D6">
        <w:t xml:space="preserve"> </w:t>
      </w:r>
      <w:r>
        <w:t xml:space="preserve">time given the urban growth anticipated to occur north and west of Melbourne in the coming years. </w:t>
      </w:r>
      <w:r w:rsidR="000157D6">
        <w:t>APA</w:t>
      </w:r>
      <w:r>
        <w:t xml:space="preserve"> also simultaneously submitted a separate business case for interim improvements to the Brooklyn and Winchelsea Compressor Stations to increase the capacity of the </w:t>
      </w:r>
      <w:r w:rsidR="00E36095">
        <w:t>South West Pipeline (SWP)</w:t>
      </w:r>
      <w:r>
        <w:t xml:space="preserve"> to refill the Iona </w:t>
      </w:r>
      <w:r w:rsidR="00E36095">
        <w:t>Underground storage facility (</w:t>
      </w:r>
      <w:r>
        <w:t>UGS</w:t>
      </w:r>
      <w:r w:rsidR="00E36095">
        <w:t>)</w:t>
      </w:r>
      <w:r>
        <w:t xml:space="preserve"> and manage supply risks in the short-term.</w:t>
      </w:r>
    </w:p>
    <w:p w14:paraId="2FBCC193" w14:textId="6F088AEF" w:rsidR="00D61D7B" w:rsidRDefault="008034EA" w:rsidP="00D61D7B">
      <w:pPr>
        <w:pStyle w:val="BodyText"/>
      </w:pPr>
      <w:r>
        <w:t>Australian Energy Market Operator (</w:t>
      </w:r>
      <w:r w:rsidR="00D61D7B">
        <w:t>AEMO</w:t>
      </w:r>
      <w:r>
        <w:t>)</w:t>
      </w:r>
      <w:r w:rsidR="00D61D7B">
        <w:t xml:space="preserve"> </w:t>
      </w:r>
      <w:r w:rsidR="004A31C6">
        <w:t xml:space="preserve">then </w:t>
      </w:r>
      <w:r w:rsidR="00D61D7B">
        <w:t xml:space="preserve">released its </w:t>
      </w:r>
      <w:r w:rsidR="00D61D7B" w:rsidRPr="00C51E7D">
        <w:rPr>
          <w:rStyle w:val="Italics"/>
        </w:rPr>
        <w:t>Gas Statement of Opportunit</w:t>
      </w:r>
      <w:r>
        <w:rPr>
          <w:rStyle w:val="Italics"/>
        </w:rPr>
        <w:t>ies</w:t>
      </w:r>
      <w:r w:rsidR="00D61D7B" w:rsidRPr="00D61D7B">
        <w:t xml:space="preserve"> </w:t>
      </w:r>
      <w:r w:rsidR="00D61D7B">
        <w:t xml:space="preserve">(GSOO) document in March 2017 and the </w:t>
      </w:r>
      <w:r w:rsidR="00D61D7B" w:rsidRPr="00C51E7D">
        <w:rPr>
          <w:rStyle w:val="Italics"/>
        </w:rPr>
        <w:t>Victorian Gas Planning Report 2017</w:t>
      </w:r>
      <w:r w:rsidR="00D61D7B">
        <w:t xml:space="preserve"> (VGPR) which confirmed a greater urgency to progress the full WORM project to completion to help address anticipated gas supply shortfalls, forecast at that time by winter 2018. This need was due to network capacity constraints leading to the inadequate refilling of the Iona UGS, and the closure of the Hazelwood Power Station which was expected to place greater capacity constraints on the SWP </w:t>
      </w:r>
      <w:proofErr w:type="gramStart"/>
      <w:r w:rsidR="00D61D7B">
        <w:t>as a result of</w:t>
      </w:r>
      <w:proofErr w:type="gramEnd"/>
      <w:r w:rsidR="00D61D7B">
        <w:t xml:space="preserve"> the Laverton gas powered generation in Melbourne’s west operating more frequently.</w:t>
      </w:r>
      <w:r w:rsidR="000D0880">
        <w:t xml:space="preserve"> </w:t>
      </w:r>
      <w:r w:rsidR="00D61D7B">
        <w:t xml:space="preserve">As such, in </w:t>
      </w:r>
      <w:r w:rsidR="00D61D7B" w:rsidRPr="00DD471B">
        <w:t xml:space="preserve">April 2017 </w:t>
      </w:r>
      <w:r w:rsidR="00D61D7B">
        <w:t>APA resubmitted an updated business case</w:t>
      </w:r>
      <w:r w:rsidR="007E2DF2">
        <w:t xml:space="preserve"> known as the 'APA VTS</w:t>
      </w:r>
      <w:r w:rsidR="002C1CE6">
        <w:t xml:space="preserve"> Access Arrangement 2018</w:t>
      </w:r>
      <w:r w:rsidR="0081742E">
        <w:t>–</w:t>
      </w:r>
      <w:r w:rsidR="002C1CE6">
        <w:t>2022'</w:t>
      </w:r>
      <w:r w:rsidR="00D61D7B">
        <w:t xml:space="preserve"> to the AER for the full WORM project</w:t>
      </w:r>
      <w:r w:rsidR="004A31C6">
        <w:t>. This</w:t>
      </w:r>
      <w:r w:rsidR="002C1CE6">
        <w:t xml:space="preserve"> was approved by the AER</w:t>
      </w:r>
      <w:r w:rsidR="004A31C6">
        <w:t xml:space="preserve"> in 2017</w:t>
      </w:r>
      <w:r w:rsidR="00D61D7B">
        <w:t>.</w:t>
      </w:r>
      <w:r w:rsidR="00563D40">
        <w:t xml:space="preserve"> </w:t>
      </w:r>
    </w:p>
    <w:p w14:paraId="775AED88" w14:textId="77777777" w:rsidR="00D61D7B" w:rsidRPr="00D61D7B" w:rsidRDefault="00D61D7B" w:rsidP="00F4218E">
      <w:pPr>
        <w:pStyle w:val="Heading2"/>
        <w:pageBreakBefore/>
      </w:pPr>
      <w:bookmarkStart w:id="11" w:name="_Toc62758913"/>
      <w:bookmarkStart w:id="12" w:name="_Toc71242067"/>
      <w:bookmarkStart w:id="13" w:name="_Toc72198633"/>
      <w:r>
        <w:lastRenderedPageBreak/>
        <w:t>Overview of project development process</w:t>
      </w:r>
      <w:bookmarkEnd w:id="11"/>
      <w:bookmarkEnd w:id="12"/>
      <w:bookmarkEnd w:id="13"/>
    </w:p>
    <w:p w14:paraId="3B2B6797" w14:textId="780F7509" w:rsidR="00F71410" w:rsidRDefault="00F71410" w:rsidP="00F71410">
      <w:pPr>
        <w:pStyle w:val="BodyText"/>
      </w:pPr>
      <w:r>
        <w:fldChar w:fldCharType="begin"/>
      </w:r>
      <w:r>
        <w:instrText xml:space="preserve"> REF _Ref47519112 \h </w:instrText>
      </w:r>
      <w:r>
        <w:fldChar w:fldCharType="separate"/>
      </w:r>
      <w:r w:rsidR="00BA1E56">
        <w:t>Figure </w:t>
      </w:r>
      <w:r w:rsidR="00BA1E56">
        <w:rPr>
          <w:noProof/>
        </w:rPr>
        <w:t>3</w:t>
      </w:r>
      <w:r w:rsidR="00BA1E56">
        <w:noBreakHyphen/>
      </w:r>
      <w:r w:rsidR="00BA1E56">
        <w:rPr>
          <w:noProof/>
        </w:rPr>
        <w:t>1</w:t>
      </w:r>
      <w:r>
        <w:fldChar w:fldCharType="end"/>
      </w:r>
      <w:r>
        <w:t xml:space="preserve"> provides an overview of the key phases in the development of the Project with further details on the steps undertaken within each stage provided in the following sections of this chapter.</w:t>
      </w:r>
    </w:p>
    <w:p w14:paraId="5255E744" w14:textId="16FEA007" w:rsidR="00F71410" w:rsidRDefault="00F71410" w:rsidP="00F71410">
      <w:pPr>
        <w:pStyle w:val="Caption"/>
      </w:pPr>
      <w:bookmarkStart w:id="14" w:name="_Ref47519112"/>
      <w:r>
        <w:t>Figure</w:t>
      </w:r>
      <w:r w:rsidR="00563D40">
        <w:t> </w:t>
      </w:r>
      <w:r w:rsidR="00D21058">
        <w:fldChar w:fldCharType="begin"/>
      </w:r>
      <w:r w:rsidR="00D21058">
        <w:instrText xml:space="preserve"> </w:instrText>
      </w:r>
      <w:r w:rsidR="00D21058">
        <w:instrText xml:space="preserve">STYLEREF 1 \s </w:instrText>
      </w:r>
      <w:r w:rsidR="00D21058">
        <w:fldChar w:fldCharType="separate"/>
      </w:r>
      <w:r w:rsidR="00BA1E56">
        <w:rPr>
          <w:noProof/>
        </w:rPr>
        <w:t>3</w:t>
      </w:r>
      <w:r w:rsidR="00D21058">
        <w:rPr>
          <w:noProof/>
        </w:rPr>
        <w:fldChar w:fldCharType="end"/>
      </w:r>
      <w:r w:rsidR="007253FE">
        <w:noBreakHyphen/>
      </w:r>
      <w:r w:rsidR="00D21058">
        <w:fldChar w:fldCharType="begin"/>
      </w:r>
      <w:r w:rsidR="00D21058">
        <w:instrText xml:space="preserve"> SEQ Figure \* ARABIC \s 1 </w:instrText>
      </w:r>
      <w:r w:rsidR="00D21058">
        <w:fldChar w:fldCharType="separate"/>
      </w:r>
      <w:r w:rsidR="00BA1E56">
        <w:rPr>
          <w:noProof/>
        </w:rPr>
        <w:t>1</w:t>
      </w:r>
      <w:r w:rsidR="00D21058">
        <w:rPr>
          <w:noProof/>
        </w:rPr>
        <w:fldChar w:fldCharType="end"/>
      </w:r>
      <w:bookmarkEnd w:id="14"/>
      <w:r w:rsidR="00563D40">
        <w:tab/>
      </w:r>
      <w:r w:rsidRPr="00EF2BDD">
        <w:t>Project development process overview</w:t>
      </w:r>
    </w:p>
    <w:p w14:paraId="40FB4A44" w14:textId="17A55A9F" w:rsidR="00F71410" w:rsidRDefault="00726B3A" w:rsidP="00563D40">
      <w:pPr>
        <w:pStyle w:val="Object"/>
      </w:pPr>
      <w:r w:rsidRPr="00726B3A">
        <w:rPr>
          <w:noProof/>
        </w:rPr>
        <w:drawing>
          <wp:inline distT="0" distB="0" distL="0" distR="0" wp14:anchorId="0C90880C" wp14:editId="1B91C9BE">
            <wp:extent cx="5759450" cy="6678295"/>
            <wp:effectExtent l="0" t="0" r="0" b="8255"/>
            <wp:docPr id="12" name="Picture 12" descr="This figure shows a flowchart of the overview project development process. The steps presented in the flow chart are:&#10;1. Project inception&#10;2. Early investigations&#10;3. Options evaluation framework&#10;4. Potential pipeline route options&#10;5. Confirmation of preferred route option&#10;6. Obtain regulatory approvals&#10;7. Pipeline construction and operation&#10;&#10;Details of each step is outlined in the proceeding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a flowchart of the overview project development process. The steps presented in the flow chart are:&#10;1. Project inception&#10;2. Early investigations&#10;3. Options evaluation framework&#10;4. Potential pipeline route options&#10;5. Confirmation of preferred route option&#10;6. Obtain regulatory approvals&#10;7. Pipeline construction and operation&#10;&#10;Details of each step is outlined in the proceeding sections."/>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759450" cy="6678295"/>
                    </a:xfrm>
                    <a:prstGeom prst="rect">
                      <a:avLst/>
                    </a:prstGeom>
                    <a:noFill/>
                    <a:ln>
                      <a:noFill/>
                    </a:ln>
                  </pic:spPr>
                </pic:pic>
              </a:graphicData>
            </a:graphic>
          </wp:inline>
        </w:drawing>
      </w:r>
    </w:p>
    <w:p w14:paraId="76575F08" w14:textId="3F838479" w:rsidR="00D61D7B" w:rsidRDefault="00D61D7B" w:rsidP="00D61D7B">
      <w:pPr>
        <w:pStyle w:val="BodyText"/>
      </w:pPr>
      <w:r>
        <w:lastRenderedPageBreak/>
        <w:t>The Project which forms the subject of this EES was developed through a series of project development phases, following AER’s approval of the 201</w:t>
      </w:r>
      <w:r w:rsidR="004A31C6">
        <w:t>8-2022 Access Arrangement for the VTS and the</w:t>
      </w:r>
      <w:r>
        <w:t xml:space="preserve"> WORM business case.</w:t>
      </w:r>
    </w:p>
    <w:p w14:paraId="10E5B404" w14:textId="757A482E" w:rsidR="00D61D7B" w:rsidRDefault="00D61D7B" w:rsidP="00D61D7B">
      <w:pPr>
        <w:pStyle w:val="BodyText"/>
      </w:pPr>
      <w:r>
        <w:t xml:space="preserve">APA have engaged with a range of key stakeholders throughout various phases of </w:t>
      </w:r>
      <w:r w:rsidR="0006658D">
        <w:t>the Project</w:t>
      </w:r>
      <w:r>
        <w:t xml:space="preserve"> development process. Further details of consultation undertaken for </w:t>
      </w:r>
      <w:r w:rsidR="0006658D">
        <w:t>the Project</w:t>
      </w:r>
      <w:r>
        <w:t xml:space="preserve"> and key outcomes of stakeholder engagement are set out in Chapter </w:t>
      </w:r>
      <w:r w:rsidR="00430A7F">
        <w:t>6</w:t>
      </w:r>
      <w:r>
        <w:t xml:space="preserve"> </w:t>
      </w:r>
      <w:r w:rsidR="00541105" w:rsidRPr="00501136">
        <w:rPr>
          <w:rStyle w:val="Italics"/>
        </w:rPr>
        <w:t>Community and stakeholder consultation</w:t>
      </w:r>
      <w:r>
        <w:t>.</w:t>
      </w:r>
    </w:p>
    <w:p w14:paraId="1BF14E5D" w14:textId="77777777" w:rsidR="00D61D7B" w:rsidRPr="00D61D7B" w:rsidRDefault="00D61D7B" w:rsidP="001943A9">
      <w:pPr>
        <w:pStyle w:val="Heading2"/>
      </w:pPr>
      <w:bookmarkStart w:id="15" w:name="_Toc62128797"/>
      <w:bookmarkStart w:id="16" w:name="_Toc62758879"/>
      <w:bookmarkStart w:id="17" w:name="_Toc62758914"/>
      <w:bookmarkStart w:id="18" w:name="_Toc62758915"/>
      <w:bookmarkStart w:id="19" w:name="_Toc71242068"/>
      <w:bookmarkStart w:id="20" w:name="_Toc72198634"/>
      <w:bookmarkEnd w:id="15"/>
      <w:bookmarkEnd w:id="16"/>
      <w:bookmarkEnd w:id="17"/>
      <w:r>
        <w:t>Project inception</w:t>
      </w:r>
      <w:bookmarkEnd w:id="18"/>
      <w:bookmarkEnd w:id="19"/>
      <w:bookmarkEnd w:id="20"/>
    </w:p>
    <w:p w14:paraId="79B1B7DC" w14:textId="0A8A94A3" w:rsidR="007C46B0" w:rsidRDefault="007C46B0" w:rsidP="00D61D7B">
      <w:pPr>
        <w:pStyle w:val="BodyText"/>
      </w:pPr>
      <w:r>
        <w:t xml:space="preserve">As noted in Section </w:t>
      </w:r>
      <w:r>
        <w:fldChar w:fldCharType="begin"/>
      </w:r>
      <w:r>
        <w:instrText xml:space="preserve"> REF _Ref47610692 \r \h </w:instrText>
      </w:r>
      <w:r>
        <w:fldChar w:fldCharType="separate"/>
      </w:r>
      <w:r w:rsidR="00BA1E56">
        <w:t>3.2</w:t>
      </w:r>
      <w:r>
        <w:fldChar w:fldCharType="end"/>
      </w:r>
      <w:r>
        <w:t xml:space="preserve">, the AEMO GSOO and VGPR in 2017 confirmed the need for the </w:t>
      </w:r>
      <w:r w:rsidR="0006658D">
        <w:t>P</w:t>
      </w:r>
      <w:r>
        <w:t xml:space="preserve">roject to address network capacity constraints, and the </w:t>
      </w:r>
      <w:r w:rsidRPr="00DD471B">
        <w:t xml:space="preserve">2017 </w:t>
      </w:r>
      <w:r>
        <w:t>APA business case for the 'APA VTS Access Arrangement 2018-2022' responded to the identified need.</w:t>
      </w:r>
    </w:p>
    <w:p w14:paraId="4F3C373A" w14:textId="77777777" w:rsidR="00550593" w:rsidRPr="00550593" w:rsidRDefault="00550593" w:rsidP="00563D40">
      <w:pPr>
        <w:pStyle w:val="BodyText"/>
      </w:pPr>
      <w:r w:rsidRPr="00550593">
        <w:t>The Project’s business case was developed in accordance with Rule 79 “Capital expenditure will be incurred by the prudent service provider acting efficiently in accordance with accepted good industry standard practice” of the National Gas Rules (AEMC, 2021). The National Gas Rules govern access to natural gas pipeline services and elements of broader natural gas markets. APA demonstrated this rule through these three criteria:</w:t>
      </w:r>
    </w:p>
    <w:p w14:paraId="541F85FC" w14:textId="77777777" w:rsidR="00550593" w:rsidRPr="00550593" w:rsidRDefault="00550593" w:rsidP="00563D40">
      <w:pPr>
        <w:pStyle w:val="BodyBullet1"/>
      </w:pPr>
      <w:r w:rsidRPr="00550593">
        <w:t>Identification of need – the Project was needed to fulfil storage quickly to meet peak supply needs</w:t>
      </w:r>
    </w:p>
    <w:p w14:paraId="5863ED30" w14:textId="77777777" w:rsidR="00550593" w:rsidRPr="00550593" w:rsidRDefault="00550593" w:rsidP="00563D40">
      <w:pPr>
        <w:pStyle w:val="BodyBullet1"/>
      </w:pPr>
      <w:r w:rsidRPr="00550593">
        <w:t>Identification and evaluation of alternatives – the Project was identified as the best alternative to meet the Project objectives, as approved by the AER</w:t>
      </w:r>
    </w:p>
    <w:p w14:paraId="0C8F1FB6" w14:textId="23BE91E4" w:rsidR="00550593" w:rsidRPr="00550593" w:rsidRDefault="00550593" w:rsidP="00563D40">
      <w:pPr>
        <w:pStyle w:val="BodyBullet1"/>
      </w:pPr>
      <w:r w:rsidRPr="00550593">
        <w:t>Efficient execution – to demonstrate efficient execution APA relies on procurement processes, importantly the public tender process for significant components.</w:t>
      </w:r>
    </w:p>
    <w:p w14:paraId="34E5CF90" w14:textId="014BF358" w:rsidR="00D61D7B" w:rsidRDefault="00D61D7B" w:rsidP="00D61D7B">
      <w:pPr>
        <w:pStyle w:val="BodyText"/>
      </w:pPr>
      <w:r>
        <w:t xml:space="preserve">As part of the Project’s inception, APA established the key </w:t>
      </w:r>
      <w:r w:rsidR="0006658D">
        <w:t>P</w:t>
      </w:r>
      <w:r>
        <w:t xml:space="preserve">roject objectives to guide delivery which are discussed in </w:t>
      </w:r>
      <w:r w:rsidRPr="00EB01DA">
        <w:t>Chapter 1</w:t>
      </w:r>
      <w:r>
        <w:t xml:space="preserve"> </w:t>
      </w:r>
      <w:r w:rsidR="000C0E68" w:rsidRPr="00337199">
        <w:rPr>
          <w:rStyle w:val="Italics"/>
        </w:rPr>
        <w:t>Introduction</w:t>
      </w:r>
      <w:r>
        <w:t>.</w:t>
      </w:r>
      <w:r w:rsidR="00563D40">
        <w:t xml:space="preserve"> </w:t>
      </w:r>
      <w:r>
        <w:t xml:space="preserve">At the core of these objectives was the need for APA to ensure the Project’s compliance with the </w:t>
      </w:r>
      <w:r w:rsidRPr="00D61D7B">
        <w:t>Victorian Pipelines Act 2005</w:t>
      </w:r>
      <w:r>
        <w:t xml:space="preserve"> (Pipelines Act) and the </w:t>
      </w:r>
      <w:r w:rsidRPr="00D61D7B">
        <w:t xml:space="preserve">Pipeline Regulations 2017. </w:t>
      </w:r>
      <w:proofErr w:type="gramStart"/>
      <w:r>
        <w:t>In particular the</w:t>
      </w:r>
      <w:proofErr w:type="gramEnd"/>
      <w:r>
        <w:t xml:space="preserve"> Project sought to align with the objectives of the Pipelines Act by:</w:t>
      </w:r>
    </w:p>
    <w:p w14:paraId="6F589802" w14:textId="77777777" w:rsidR="00D61D7B" w:rsidRPr="00D61D7B" w:rsidRDefault="00D61D7B" w:rsidP="00D61D7B">
      <w:pPr>
        <w:pStyle w:val="BodyBullet1"/>
      </w:pPr>
      <w:r>
        <w:t>Following the process outlined in the Pipelines Act to determine the most efficient and suitable route for each pipeline</w:t>
      </w:r>
    </w:p>
    <w:p w14:paraId="34CC769E" w14:textId="6AC2A0B5" w:rsidR="00D61D7B" w:rsidRPr="00D61D7B" w:rsidRDefault="00D61D7B" w:rsidP="00D61D7B">
      <w:pPr>
        <w:pStyle w:val="BodyBullet1"/>
      </w:pPr>
      <w:r>
        <w:t xml:space="preserve">Ensuring sound consultation processes were undertaken as part of </w:t>
      </w:r>
      <w:r w:rsidR="0006658D">
        <w:t>the Project</w:t>
      </w:r>
      <w:r>
        <w:t xml:space="preserve"> planning, </w:t>
      </w:r>
      <w:proofErr w:type="gramStart"/>
      <w:r>
        <w:t>construction</w:t>
      </w:r>
      <w:proofErr w:type="gramEnd"/>
      <w:r>
        <w:t xml:space="preserve"> and operation</w:t>
      </w:r>
    </w:p>
    <w:p w14:paraId="22EF68D6" w14:textId="479C2C06" w:rsidR="00D61D7B" w:rsidRPr="00D61D7B" w:rsidRDefault="00D61D7B" w:rsidP="00D61D7B">
      <w:pPr>
        <w:pStyle w:val="BodyBullet1"/>
      </w:pPr>
      <w:r>
        <w:t xml:space="preserve">Protecting </w:t>
      </w:r>
      <w:r w:rsidR="008034EA">
        <w:t xml:space="preserve">workers and </w:t>
      </w:r>
      <w:r>
        <w:t xml:space="preserve">the public from environmental, health and safety risks resulting from the construction and operation of </w:t>
      </w:r>
      <w:r w:rsidR="00082B02">
        <w:t>the Project</w:t>
      </w:r>
    </w:p>
    <w:p w14:paraId="5595A0A0" w14:textId="4D51CE13" w:rsidR="00D61D7B" w:rsidRPr="00D61D7B" w:rsidRDefault="00D61D7B" w:rsidP="00D61D7B">
      <w:pPr>
        <w:pStyle w:val="BodyBullet1"/>
      </w:pPr>
      <w:r>
        <w:t xml:space="preserve">Ensuring that the </w:t>
      </w:r>
      <w:r w:rsidR="00082B02">
        <w:t xml:space="preserve">Project </w:t>
      </w:r>
      <w:r>
        <w:t>would be constructed and operated in a way that would minimise adverse environmental impacts and have regard for the need for sustainable development.</w:t>
      </w:r>
    </w:p>
    <w:p w14:paraId="683FED85" w14:textId="2F49F472" w:rsidR="00D61D7B" w:rsidRPr="00D61D7B" w:rsidRDefault="00D61D7B" w:rsidP="00D61D7B">
      <w:pPr>
        <w:pStyle w:val="BodyText"/>
      </w:pPr>
      <w:r>
        <w:t xml:space="preserve">During project inception, a study area was also defined for the </w:t>
      </w:r>
      <w:r w:rsidR="0006658D">
        <w:t>P</w:t>
      </w:r>
      <w:r>
        <w:t xml:space="preserve">roject to form the focus of preliminary investigations for potential pipeline alignment options. The location of the study area was informed by the fact that a new high-pressure pipeline connection between the VTS and the SWP in Victoria’s west, would most logically occur between the Plumpton </w:t>
      </w:r>
      <w:r w:rsidR="00076F49">
        <w:t>Regulating Station</w:t>
      </w:r>
      <w:r>
        <w:t xml:space="preserve"> (</w:t>
      </w:r>
      <w:r w:rsidR="00076F49">
        <w:t xml:space="preserve">western </w:t>
      </w:r>
      <w:r>
        <w:t>end of the SWP) and the Wollert compressor station (</w:t>
      </w:r>
      <w:r w:rsidR="00076F49">
        <w:t xml:space="preserve">eastern </w:t>
      </w:r>
      <w:r>
        <w:t xml:space="preserve">end of the </w:t>
      </w:r>
      <w:r w:rsidR="008D4E24">
        <w:t xml:space="preserve">Western </w:t>
      </w:r>
      <w:r>
        <w:t xml:space="preserve">Outer Ring Main and southern end of the </w:t>
      </w:r>
      <w:r w:rsidR="00E36095">
        <w:t>Victorian Norther</w:t>
      </w:r>
      <w:r w:rsidR="00AD391F">
        <w:t>n</w:t>
      </w:r>
      <w:r w:rsidR="00E36095">
        <w:t xml:space="preserve"> Interconnect</w:t>
      </w:r>
      <w:r>
        <w:t>).</w:t>
      </w:r>
    </w:p>
    <w:p w14:paraId="7D5529A5" w14:textId="28E71263" w:rsidR="00D61D7B" w:rsidRPr="00D61D7B" w:rsidRDefault="00D61D7B" w:rsidP="001943A9">
      <w:pPr>
        <w:pStyle w:val="Heading2"/>
      </w:pPr>
      <w:bookmarkStart w:id="21" w:name="_Toc62758916"/>
      <w:bookmarkStart w:id="22" w:name="_Toc71242069"/>
      <w:bookmarkStart w:id="23" w:name="_Toc72198635"/>
      <w:r>
        <w:lastRenderedPageBreak/>
        <w:t xml:space="preserve">Early </w:t>
      </w:r>
      <w:r w:rsidRPr="00AB6E37">
        <w:t>investigations</w:t>
      </w:r>
      <w:bookmarkEnd w:id="21"/>
      <w:bookmarkEnd w:id="22"/>
      <w:bookmarkEnd w:id="23"/>
    </w:p>
    <w:p w14:paraId="472BAB0F" w14:textId="30C5AE17" w:rsidR="00D61D7B" w:rsidRDefault="004A31C6" w:rsidP="00D61D7B">
      <w:pPr>
        <w:pStyle w:val="BodyText"/>
      </w:pPr>
      <w:r>
        <w:t xml:space="preserve">From early 2018, </w:t>
      </w:r>
      <w:r w:rsidR="00D61D7B">
        <w:t>APA ha</w:t>
      </w:r>
      <w:r w:rsidR="00082B02">
        <w:t>s</w:t>
      </w:r>
      <w:r w:rsidR="00D61D7B">
        <w:t xml:space="preserve"> undertaken a comprehensive investigation process to identify and consider the various opportunities and constraints within the </w:t>
      </w:r>
      <w:r w:rsidR="0006658D">
        <w:t xml:space="preserve">Project </w:t>
      </w:r>
      <w:r w:rsidR="00D61D7B">
        <w:t>study area which would later inform potential pipeline alignment options.</w:t>
      </w:r>
    </w:p>
    <w:p w14:paraId="714E2BB3" w14:textId="77777777" w:rsidR="00D61D7B" w:rsidRDefault="00D61D7B" w:rsidP="00D61D7B">
      <w:pPr>
        <w:pStyle w:val="BodyText"/>
      </w:pPr>
      <w:r>
        <w:t>Desktop assessments, site inspections and early stakeholder consultation was undertaken and used to compile a database of spatial and contextual information for analysis.</w:t>
      </w:r>
    </w:p>
    <w:p w14:paraId="5EEF5648" w14:textId="2AB470F6" w:rsidR="00D61D7B" w:rsidRDefault="00D61D7B" w:rsidP="00D61D7B">
      <w:pPr>
        <w:pStyle w:val="BodyText"/>
      </w:pPr>
      <w:r>
        <w:t>Early engagement with the four relevant local government authorities within the study area (Melton City, Hume City, Whittlesea City and Mitchell Shire) w</w:t>
      </w:r>
      <w:r w:rsidR="00082B02">
        <w:t>as</w:t>
      </w:r>
      <w:r>
        <w:t xml:space="preserve"> undertaken, in addition to engagement with the Department of Environment, Land, Water and Planning (DELWP), VicRoads</w:t>
      </w:r>
      <w:r w:rsidR="004A31C6">
        <w:t>, VicTrack</w:t>
      </w:r>
      <w:r w:rsidR="00F52DE8">
        <w:t>, Victorian Planning Authority</w:t>
      </w:r>
      <w:r>
        <w:t xml:space="preserve"> and</w:t>
      </w:r>
      <w:r w:rsidR="004A31C6">
        <w:t xml:space="preserve"> SP</w:t>
      </w:r>
      <w:r>
        <w:t xml:space="preserve"> </w:t>
      </w:r>
      <w:r w:rsidR="001D6DFA">
        <w:t>AusNet</w:t>
      </w:r>
      <w:r>
        <w:t>.</w:t>
      </w:r>
    </w:p>
    <w:p w14:paraId="1ECDE37F" w14:textId="5BBE88AF" w:rsidR="00D61D7B" w:rsidRDefault="00D61D7B" w:rsidP="00D61D7B">
      <w:pPr>
        <w:pStyle w:val="BodyText"/>
      </w:pPr>
      <w:r>
        <w:t>Key considerations that informed the study area investigation and route selection process included</w:t>
      </w:r>
      <w:r w:rsidR="00076F49">
        <w:rPr>
          <w:rStyle w:val="FootnoteReference"/>
        </w:rPr>
        <w:footnoteReference w:id="2"/>
      </w:r>
      <w:r>
        <w:t>:</w:t>
      </w:r>
    </w:p>
    <w:p w14:paraId="5B9D42B8" w14:textId="1EEA1395" w:rsidR="00D61D7B" w:rsidRPr="00D61D7B" w:rsidRDefault="00D61D7B" w:rsidP="00767839">
      <w:pPr>
        <w:pStyle w:val="BodyBullet1"/>
      </w:pPr>
      <w:r>
        <w:t>Environmental and heritage constraints including any areas of high biodiversity or heritage value to avoid and minimise impacts where possible</w:t>
      </w:r>
    </w:p>
    <w:p w14:paraId="3B1586E7" w14:textId="5B468739" w:rsidR="00D61D7B" w:rsidRPr="00D61D7B" w:rsidRDefault="00D61D7B" w:rsidP="00767839">
      <w:pPr>
        <w:pStyle w:val="BodyBullet1"/>
      </w:pPr>
      <w:r>
        <w:t>Topographical features including terrain, vegetation cover, waterways and existing land use and development characteristics</w:t>
      </w:r>
    </w:p>
    <w:p w14:paraId="43E521A3" w14:textId="5BEEE836" w:rsidR="00D61D7B" w:rsidRPr="00D61D7B" w:rsidRDefault="00D61D7B" w:rsidP="00767839">
      <w:pPr>
        <w:pStyle w:val="BodyBullet1"/>
      </w:pPr>
      <w:r>
        <w:t>U</w:t>
      </w:r>
      <w:r w:rsidRPr="00D61D7B">
        <w:t>tility or transport infrastructure corridors to determine opportunities for co-location of proposed infrastructure with complementary uses</w:t>
      </w:r>
    </w:p>
    <w:p w14:paraId="48483C43" w14:textId="7FC4F02D" w:rsidR="00D61D7B" w:rsidRPr="00D61D7B" w:rsidRDefault="00D61D7B" w:rsidP="00767839">
      <w:pPr>
        <w:pStyle w:val="BodyBullet1"/>
      </w:pPr>
      <w:r>
        <w:t>Future land-uses</w:t>
      </w:r>
      <w:r w:rsidRPr="00D61D7B">
        <w:t xml:space="preserve"> and locations of urban growth in accordance with Strategic Plans and land-use</w:t>
      </w:r>
      <w:r w:rsidR="00295CCD">
        <w:t> </w:t>
      </w:r>
      <w:r w:rsidRPr="00D61D7B">
        <w:t>strategies</w:t>
      </w:r>
    </w:p>
    <w:p w14:paraId="163CAC36" w14:textId="1292BC8B" w:rsidR="00D61D7B" w:rsidRPr="00D61D7B" w:rsidRDefault="00D61D7B" w:rsidP="00767839">
      <w:pPr>
        <w:pStyle w:val="BodyBullet1"/>
      </w:pPr>
      <w:r>
        <w:t>Geotechnical and hydrological characteristics</w:t>
      </w:r>
      <w:r w:rsidR="00EE7699">
        <w:t xml:space="preserve"> including areas of slope greater than 10 per cent, ground stability, presence of rock and soil type</w:t>
      </w:r>
      <w:r>
        <w:t xml:space="preserve"> to inform the constructability of </w:t>
      </w:r>
      <w:r w:rsidR="0006658D">
        <w:t>the Project</w:t>
      </w:r>
    </w:p>
    <w:p w14:paraId="30A74D3D" w14:textId="2BB88D48" w:rsidR="00D61D7B" w:rsidRPr="00D61D7B" w:rsidRDefault="00D61D7B" w:rsidP="00767839">
      <w:pPr>
        <w:pStyle w:val="BodyBullet1"/>
      </w:pPr>
      <w:r>
        <w:t>Social impact and community values, including</w:t>
      </w:r>
      <w:r w:rsidRPr="00D61D7B">
        <w:t xml:space="preserve"> identifying valued local assets and considering </w:t>
      </w:r>
      <w:proofErr w:type="gramStart"/>
      <w:r w:rsidRPr="00D61D7B">
        <w:t>land owner</w:t>
      </w:r>
      <w:proofErr w:type="gramEnd"/>
      <w:r w:rsidRPr="00D61D7B">
        <w:t xml:space="preserve"> interests and access arrangements in </w:t>
      </w:r>
      <w:r w:rsidR="0006658D">
        <w:t>the Project</w:t>
      </w:r>
      <w:r w:rsidRPr="00D61D7B">
        <w:t xml:space="preserve"> area.</w:t>
      </w:r>
    </w:p>
    <w:p w14:paraId="1C9768DF" w14:textId="396803E2" w:rsidR="00F05476" w:rsidRDefault="00F71410" w:rsidP="00F05476">
      <w:pPr>
        <w:pStyle w:val="BodyText"/>
      </w:pPr>
      <w:r w:rsidRPr="002A4DD3">
        <w:t>The</w:t>
      </w:r>
      <w:r>
        <w:t xml:space="preserve"> key</w:t>
      </w:r>
      <w:r w:rsidRPr="002A4DD3">
        <w:t xml:space="preserve"> features are described further in </w:t>
      </w:r>
      <w:r w:rsidR="00920E6E">
        <w:fldChar w:fldCharType="begin"/>
      </w:r>
      <w:r w:rsidR="00920E6E">
        <w:instrText xml:space="preserve"> REF _Ref74669857 \h </w:instrText>
      </w:r>
      <w:r w:rsidR="00920E6E">
        <w:fldChar w:fldCharType="separate"/>
      </w:r>
      <w:r w:rsidR="00920E6E" w:rsidRPr="00D61D7B">
        <w:t>Table</w:t>
      </w:r>
      <w:r w:rsidR="00920E6E">
        <w:t> </w:t>
      </w:r>
      <w:r w:rsidR="00920E6E">
        <w:rPr>
          <w:noProof/>
        </w:rPr>
        <w:t>3</w:t>
      </w:r>
      <w:r w:rsidR="00920E6E">
        <w:noBreakHyphen/>
      </w:r>
      <w:r w:rsidR="00920E6E">
        <w:rPr>
          <w:noProof/>
        </w:rPr>
        <w:t>1</w:t>
      </w:r>
      <w:r w:rsidR="00920E6E">
        <w:fldChar w:fldCharType="end"/>
      </w:r>
      <w:r>
        <w:t xml:space="preserve"> and </w:t>
      </w:r>
      <w:r w:rsidR="00076F49">
        <w:fldChar w:fldCharType="begin"/>
      </w:r>
      <w:r w:rsidR="00076F49">
        <w:instrText xml:space="preserve"> REF _Ref47519847 \h </w:instrText>
      </w:r>
      <w:r w:rsidR="00F05476">
        <w:instrText xml:space="preserve"> \* MERGEFORMAT </w:instrText>
      </w:r>
      <w:r w:rsidR="00076F49">
        <w:fldChar w:fldCharType="separate"/>
      </w:r>
      <w:r w:rsidR="00BA1E56">
        <w:t>Figure 3</w:t>
      </w:r>
      <w:r w:rsidR="00BA1E56">
        <w:noBreakHyphen/>
        <w:t>2</w:t>
      </w:r>
      <w:r w:rsidR="00076F49">
        <w:fldChar w:fldCharType="end"/>
      </w:r>
      <w:r w:rsidR="00076F49">
        <w:t xml:space="preserve"> </w:t>
      </w:r>
      <w:r w:rsidR="00D61D7B" w:rsidRPr="00D61D7B">
        <w:t>provides an overview of key features present within the study area.</w:t>
      </w:r>
      <w:r>
        <w:t xml:space="preserve"> </w:t>
      </w:r>
      <w:bookmarkStart w:id="24" w:name="_Ref46247319"/>
    </w:p>
    <w:p w14:paraId="22735E87" w14:textId="5C300D7F" w:rsidR="00F05476" w:rsidRDefault="00F05476" w:rsidP="00295CCD">
      <w:pPr>
        <w:pStyle w:val="Caption"/>
        <w:pageBreakBefore/>
      </w:pPr>
      <w:bookmarkStart w:id="25" w:name="_Ref74669857"/>
      <w:r w:rsidRPr="00D61D7B">
        <w:lastRenderedPageBreak/>
        <w:t>Table</w:t>
      </w:r>
      <w:r w:rsidR="00563D40">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9156F0">
        <w:noBreakHyphen/>
      </w:r>
      <w:r w:rsidR="00D21058">
        <w:fldChar w:fldCharType="begin"/>
      </w:r>
      <w:r w:rsidR="00D21058">
        <w:instrText xml:space="preserve"> SEQ Table \* ARABIC \s 1 </w:instrText>
      </w:r>
      <w:r w:rsidR="00D21058">
        <w:fldChar w:fldCharType="separate"/>
      </w:r>
      <w:r w:rsidR="00BA1E56">
        <w:rPr>
          <w:noProof/>
        </w:rPr>
        <w:t>1</w:t>
      </w:r>
      <w:r w:rsidR="00D21058">
        <w:rPr>
          <w:noProof/>
        </w:rPr>
        <w:fldChar w:fldCharType="end"/>
      </w:r>
      <w:bookmarkEnd w:id="24"/>
      <w:bookmarkEnd w:id="25"/>
      <w:r w:rsidR="00563D40">
        <w:tab/>
      </w:r>
      <w:r w:rsidRPr="00D61D7B">
        <w:t>Key features within study area</w:t>
      </w:r>
    </w:p>
    <w:tbl>
      <w:tblPr>
        <w:tblStyle w:val="MainTableStyle"/>
        <w:tblW w:w="0" w:type="auto"/>
        <w:tblLook w:val="0420" w:firstRow="1" w:lastRow="0" w:firstColumn="0" w:lastColumn="0" w:noHBand="0" w:noVBand="1"/>
      </w:tblPr>
      <w:tblGrid>
        <w:gridCol w:w="3114"/>
        <w:gridCol w:w="5946"/>
      </w:tblGrid>
      <w:tr w:rsidR="00F05476" w:rsidRPr="00295CCD" w14:paraId="154EDEEE" w14:textId="77777777" w:rsidTr="00295CCD">
        <w:trPr>
          <w:cnfStyle w:val="100000000000" w:firstRow="1" w:lastRow="0" w:firstColumn="0" w:lastColumn="0" w:oddVBand="0" w:evenVBand="0" w:oddHBand="0" w:evenHBand="0" w:firstRowFirstColumn="0" w:firstRowLastColumn="0" w:lastRowFirstColumn="0" w:lastRowLastColumn="0"/>
        </w:trPr>
        <w:tc>
          <w:tcPr>
            <w:tcW w:w="3114" w:type="dxa"/>
          </w:tcPr>
          <w:p w14:paraId="3EFE1C50" w14:textId="09170FA0" w:rsidR="00F05476" w:rsidRPr="00295CCD" w:rsidRDefault="000017BE" w:rsidP="00295CCD">
            <w:pPr>
              <w:pStyle w:val="TableText"/>
            </w:pPr>
            <w:r w:rsidRPr="00295CCD">
              <w:t xml:space="preserve">Theme </w:t>
            </w:r>
          </w:p>
        </w:tc>
        <w:tc>
          <w:tcPr>
            <w:tcW w:w="5946" w:type="dxa"/>
          </w:tcPr>
          <w:p w14:paraId="3590F68A" w14:textId="450771F6" w:rsidR="00F05476" w:rsidRPr="00295CCD" w:rsidRDefault="000017BE" w:rsidP="00295CCD">
            <w:pPr>
              <w:pStyle w:val="TableText"/>
            </w:pPr>
            <w:r w:rsidRPr="00295CCD">
              <w:t xml:space="preserve">Key features </w:t>
            </w:r>
          </w:p>
        </w:tc>
      </w:tr>
      <w:tr w:rsidR="000017BE" w:rsidRPr="00295CCD" w14:paraId="0462273C" w14:textId="77777777" w:rsidTr="00295CCD">
        <w:tc>
          <w:tcPr>
            <w:tcW w:w="3114" w:type="dxa"/>
            <w:vMerge w:val="restart"/>
          </w:tcPr>
          <w:p w14:paraId="084CF9E2" w14:textId="55CEB177" w:rsidR="000017BE" w:rsidRPr="00295CCD" w:rsidRDefault="000017BE" w:rsidP="00295CCD">
            <w:pPr>
              <w:pStyle w:val="TableText"/>
              <w:rPr>
                <w:rStyle w:val="CharacterStyle-BaseColour"/>
              </w:rPr>
            </w:pPr>
            <w:r w:rsidRPr="00295CCD">
              <w:rPr>
                <w:rStyle w:val="CharacterStyle-BaseColour"/>
              </w:rPr>
              <w:t xml:space="preserve">Natural Environment </w:t>
            </w:r>
          </w:p>
        </w:tc>
        <w:tc>
          <w:tcPr>
            <w:tcW w:w="5946" w:type="dxa"/>
          </w:tcPr>
          <w:p w14:paraId="0C1B0A2D" w14:textId="6D566398" w:rsidR="000017BE" w:rsidRPr="00295CCD" w:rsidRDefault="000017BE" w:rsidP="00295CCD">
            <w:pPr>
              <w:pStyle w:val="TableText"/>
            </w:pPr>
            <w:r w:rsidRPr="00295CCD">
              <w:t>Located within the Victorian Volcanic Plain bioregion which historically supported grassland and grassy woodland communities and has had a long history of agricultural use.</w:t>
            </w:r>
          </w:p>
        </w:tc>
      </w:tr>
      <w:tr w:rsidR="000017BE" w:rsidRPr="00295CCD" w14:paraId="72B3548E" w14:textId="77777777" w:rsidTr="00295CCD">
        <w:tc>
          <w:tcPr>
            <w:tcW w:w="3114" w:type="dxa"/>
            <w:vMerge/>
          </w:tcPr>
          <w:p w14:paraId="35E145DF" w14:textId="77777777" w:rsidR="000017BE" w:rsidRPr="00295CCD" w:rsidRDefault="000017BE" w:rsidP="00295CCD">
            <w:pPr>
              <w:pStyle w:val="TableText"/>
              <w:rPr>
                <w:rStyle w:val="CharacterStyle-BaseColour"/>
              </w:rPr>
            </w:pPr>
          </w:p>
        </w:tc>
        <w:tc>
          <w:tcPr>
            <w:tcW w:w="5946" w:type="dxa"/>
          </w:tcPr>
          <w:p w14:paraId="1E425B3F" w14:textId="466D14B4" w:rsidR="000017BE" w:rsidRPr="00295CCD" w:rsidRDefault="000017BE" w:rsidP="00295CCD">
            <w:pPr>
              <w:pStyle w:val="TableText"/>
            </w:pPr>
            <w:r w:rsidRPr="00295CCD">
              <w:t>Existing areas of remnant vegetation present including some of very high conservation significance, such as grassland and grassy woodland communities considered to be critically endangered.</w:t>
            </w:r>
          </w:p>
        </w:tc>
      </w:tr>
      <w:tr w:rsidR="000017BE" w:rsidRPr="00295CCD" w14:paraId="4458B29A" w14:textId="77777777" w:rsidTr="00295CCD">
        <w:tc>
          <w:tcPr>
            <w:tcW w:w="3114" w:type="dxa"/>
            <w:vMerge/>
          </w:tcPr>
          <w:p w14:paraId="4276EFCE" w14:textId="77777777" w:rsidR="000017BE" w:rsidRPr="00295CCD" w:rsidRDefault="000017BE" w:rsidP="00295CCD">
            <w:pPr>
              <w:pStyle w:val="TableText"/>
              <w:rPr>
                <w:rStyle w:val="CharacterStyle-BaseColour"/>
              </w:rPr>
            </w:pPr>
          </w:p>
        </w:tc>
        <w:tc>
          <w:tcPr>
            <w:tcW w:w="5946" w:type="dxa"/>
          </w:tcPr>
          <w:p w14:paraId="67DA7F76" w14:textId="35D31B55" w:rsidR="000017BE" w:rsidRPr="00295CCD" w:rsidRDefault="000017BE" w:rsidP="00295CCD">
            <w:pPr>
              <w:pStyle w:val="TableText"/>
            </w:pPr>
            <w:r w:rsidRPr="00295CCD">
              <w:t xml:space="preserve">Some </w:t>
            </w:r>
            <w:proofErr w:type="gramStart"/>
            <w:r w:rsidRPr="00295CCD">
              <w:t>habitat</w:t>
            </w:r>
            <w:proofErr w:type="gramEnd"/>
            <w:r w:rsidRPr="00295CCD">
              <w:t xml:space="preserve"> in the region supports populations of threatened flora and fauna species, most notably the Golden Sun Moth, Growling Grass Frog, Striped Legless-Lizard, Spiny Rice-flower and Matted Flax-Lily.</w:t>
            </w:r>
          </w:p>
        </w:tc>
      </w:tr>
      <w:tr w:rsidR="000017BE" w:rsidRPr="00295CCD" w14:paraId="7D25CB2C" w14:textId="77777777" w:rsidTr="00295CCD">
        <w:tc>
          <w:tcPr>
            <w:tcW w:w="3114" w:type="dxa"/>
            <w:vMerge/>
          </w:tcPr>
          <w:p w14:paraId="19A6936A" w14:textId="77777777" w:rsidR="000017BE" w:rsidRPr="00295CCD" w:rsidRDefault="000017BE" w:rsidP="00295CCD">
            <w:pPr>
              <w:pStyle w:val="TableText"/>
              <w:rPr>
                <w:rStyle w:val="CharacterStyle-BaseColour"/>
              </w:rPr>
            </w:pPr>
          </w:p>
        </w:tc>
        <w:tc>
          <w:tcPr>
            <w:tcW w:w="5946" w:type="dxa"/>
          </w:tcPr>
          <w:p w14:paraId="2671F737" w14:textId="338DDDDE" w:rsidR="000017BE" w:rsidRPr="00295CCD" w:rsidRDefault="000017BE" w:rsidP="00295CCD">
            <w:pPr>
              <w:pStyle w:val="TableText"/>
            </w:pPr>
            <w:r w:rsidRPr="00295CCD">
              <w:t>Several national parks and conservation reserves present including the Organ Pipes National Park, Woodlands Historic Park, Holden Flora Reserve, Mount Ridley and Craigieburn Grassland nature conservation reserves, and conservation areas prescribed under the Melbourne Strategic Assessment (MSA).</w:t>
            </w:r>
          </w:p>
        </w:tc>
      </w:tr>
      <w:tr w:rsidR="000017BE" w:rsidRPr="00295CCD" w14:paraId="05C22E53" w14:textId="77777777" w:rsidTr="00295CCD">
        <w:tc>
          <w:tcPr>
            <w:tcW w:w="3114" w:type="dxa"/>
            <w:vMerge/>
          </w:tcPr>
          <w:p w14:paraId="429DA911" w14:textId="77777777" w:rsidR="000017BE" w:rsidRPr="00295CCD" w:rsidRDefault="000017BE" w:rsidP="00295CCD">
            <w:pPr>
              <w:pStyle w:val="TableText"/>
              <w:rPr>
                <w:rStyle w:val="CharacterStyle-BaseColour"/>
              </w:rPr>
            </w:pPr>
          </w:p>
        </w:tc>
        <w:tc>
          <w:tcPr>
            <w:tcW w:w="5946" w:type="dxa"/>
          </w:tcPr>
          <w:p w14:paraId="356BDB20" w14:textId="18E353E7" w:rsidR="000017BE" w:rsidRPr="00295CCD" w:rsidRDefault="000017BE" w:rsidP="00295CCD">
            <w:pPr>
              <w:pStyle w:val="TableText"/>
            </w:pPr>
            <w:r w:rsidRPr="00295CCD">
              <w:t xml:space="preserve">Major watercourses including Jacksons Creek, Emu Creek, Deep Creek and Merri Creek, and topographic constraints including steep valleys around majority of these creek beds and several mountains and hills including Mount Fraser, Mount Ridley, Bald Hill, Redstone Hill, Mount Ridley, Woody </w:t>
            </w:r>
            <w:proofErr w:type="gramStart"/>
            <w:r w:rsidRPr="00295CCD">
              <w:t>Hill</w:t>
            </w:r>
            <w:proofErr w:type="gramEnd"/>
            <w:r w:rsidRPr="00295CCD">
              <w:t xml:space="preserve"> and Summer Hill.</w:t>
            </w:r>
          </w:p>
        </w:tc>
      </w:tr>
      <w:tr w:rsidR="000017BE" w:rsidRPr="00295CCD" w14:paraId="163CB738" w14:textId="77777777" w:rsidTr="00295CCD">
        <w:tc>
          <w:tcPr>
            <w:tcW w:w="3114" w:type="dxa"/>
            <w:vMerge w:val="restart"/>
          </w:tcPr>
          <w:p w14:paraId="608BCA86" w14:textId="1D65389A" w:rsidR="000017BE" w:rsidRPr="00295CCD" w:rsidRDefault="000017BE" w:rsidP="00295CCD">
            <w:pPr>
              <w:pStyle w:val="TableText"/>
              <w:rPr>
                <w:rStyle w:val="CharacterStyle-BaseColour"/>
              </w:rPr>
            </w:pPr>
            <w:r w:rsidRPr="00295CCD">
              <w:rPr>
                <w:rStyle w:val="CharacterStyle-BaseColour"/>
              </w:rPr>
              <w:t>Urban Development</w:t>
            </w:r>
            <w:r w:rsidR="00563D40" w:rsidRPr="00295CCD">
              <w:rPr>
                <w:rStyle w:val="CharacterStyle-BaseColour"/>
              </w:rPr>
              <w:t>/</w:t>
            </w:r>
            <w:r w:rsidRPr="00295CCD">
              <w:rPr>
                <w:rStyle w:val="CharacterStyle-BaseColour"/>
              </w:rPr>
              <w:t xml:space="preserve">Infrastructure </w:t>
            </w:r>
          </w:p>
        </w:tc>
        <w:tc>
          <w:tcPr>
            <w:tcW w:w="5946" w:type="dxa"/>
          </w:tcPr>
          <w:p w14:paraId="6DE57169" w14:textId="10AF73D1" w:rsidR="000017BE" w:rsidRPr="00295CCD" w:rsidRDefault="000017BE" w:rsidP="00295CCD">
            <w:pPr>
              <w:pStyle w:val="TableText"/>
            </w:pPr>
            <w:r w:rsidRPr="00295CCD">
              <w:t>Comprises land both within and outside of the Urban Growth Boundary. At the time of investigation, the study area included eighteen Precinct Structure Plan (PSP) areas.</w:t>
            </w:r>
          </w:p>
        </w:tc>
      </w:tr>
      <w:tr w:rsidR="000017BE" w:rsidRPr="00295CCD" w14:paraId="1940F304" w14:textId="77777777" w:rsidTr="00295CCD">
        <w:tc>
          <w:tcPr>
            <w:tcW w:w="3114" w:type="dxa"/>
            <w:vMerge/>
          </w:tcPr>
          <w:p w14:paraId="791C4218" w14:textId="77777777" w:rsidR="000017BE" w:rsidRPr="00295CCD" w:rsidRDefault="000017BE" w:rsidP="00295CCD">
            <w:pPr>
              <w:pStyle w:val="TableText"/>
              <w:rPr>
                <w:rStyle w:val="CharacterStyle-BaseColour"/>
              </w:rPr>
            </w:pPr>
          </w:p>
        </w:tc>
        <w:tc>
          <w:tcPr>
            <w:tcW w:w="5946" w:type="dxa"/>
          </w:tcPr>
          <w:p w14:paraId="4C2096AB" w14:textId="217D2A68" w:rsidR="000017BE" w:rsidRPr="00295CCD" w:rsidRDefault="000017BE" w:rsidP="00295CCD">
            <w:pPr>
              <w:pStyle w:val="TableText"/>
            </w:pPr>
            <w:r w:rsidRPr="00295CCD">
              <w:t xml:space="preserve">Existing residential and industrial urban development present particularly in the southern and eastern parts of the study area at Taylors Hill, Hillside, Diggers Rest, Caroline Springs, Bulla, Greenvale, Mickleham, Merrifield, Roxburgh Park, Kalkallo, Craigieburn, </w:t>
            </w:r>
            <w:proofErr w:type="gramStart"/>
            <w:r w:rsidRPr="00295CCD">
              <w:t>Somerton</w:t>
            </w:r>
            <w:proofErr w:type="gramEnd"/>
            <w:r w:rsidRPr="00295CCD">
              <w:t xml:space="preserve"> and Epping.</w:t>
            </w:r>
          </w:p>
        </w:tc>
      </w:tr>
      <w:tr w:rsidR="000017BE" w:rsidRPr="00295CCD" w14:paraId="4DEA91D8" w14:textId="77777777" w:rsidTr="00295CCD">
        <w:tc>
          <w:tcPr>
            <w:tcW w:w="3114" w:type="dxa"/>
            <w:vMerge/>
          </w:tcPr>
          <w:p w14:paraId="51F421D4" w14:textId="77777777" w:rsidR="000017BE" w:rsidRPr="00295CCD" w:rsidRDefault="000017BE" w:rsidP="00295CCD">
            <w:pPr>
              <w:pStyle w:val="TableText"/>
              <w:rPr>
                <w:rStyle w:val="CharacterStyle-BaseColour"/>
              </w:rPr>
            </w:pPr>
          </w:p>
        </w:tc>
        <w:tc>
          <w:tcPr>
            <w:tcW w:w="5946" w:type="dxa"/>
          </w:tcPr>
          <w:p w14:paraId="1DC29C15" w14:textId="2425B198" w:rsidR="000017BE" w:rsidRPr="00295CCD" w:rsidRDefault="000017BE" w:rsidP="00295CCD">
            <w:pPr>
              <w:pStyle w:val="TableText"/>
            </w:pPr>
            <w:r w:rsidRPr="00295CCD">
              <w:t>Major facilities present include Melbourne Airport, Calder Park Raceway, the Commonwealth quarantine station at Mount Ridley, and Melbourne Water operated assets at Greenvale Reservoir and the Kalkallo retarding basin.</w:t>
            </w:r>
          </w:p>
        </w:tc>
      </w:tr>
      <w:tr w:rsidR="000017BE" w:rsidRPr="00295CCD" w14:paraId="2B5AF605" w14:textId="77777777" w:rsidTr="00295CCD">
        <w:tc>
          <w:tcPr>
            <w:tcW w:w="3114" w:type="dxa"/>
            <w:vMerge/>
          </w:tcPr>
          <w:p w14:paraId="25F15EA6" w14:textId="77777777" w:rsidR="000017BE" w:rsidRPr="00295CCD" w:rsidRDefault="000017BE" w:rsidP="00295CCD">
            <w:pPr>
              <w:pStyle w:val="TableText"/>
              <w:rPr>
                <w:rStyle w:val="CharacterStyle-BaseColour"/>
              </w:rPr>
            </w:pPr>
          </w:p>
        </w:tc>
        <w:tc>
          <w:tcPr>
            <w:tcW w:w="5946" w:type="dxa"/>
          </w:tcPr>
          <w:p w14:paraId="37C8BF2D" w14:textId="3219FD4F" w:rsidR="000017BE" w:rsidRPr="00295CCD" w:rsidRDefault="000017BE" w:rsidP="00295CCD">
            <w:pPr>
              <w:pStyle w:val="TableText"/>
            </w:pPr>
            <w:r w:rsidRPr="00295CCD">
              <w:t>Several existing and proposed linear infrastructure easements were also identified and considered for co-location potential of the WORM. This includes the proposed Outer Metropolitan Ring</w:t>
            </w:r>
            <w:r w:rsidR="00563D40" w:rsidRPr="00295CCD">
              <w:t>/</w:t>
            </w:r>
            <w:r w:rsidRPr="00295CCD">
              <w:t>E6 transport corridor (OMR/E6); existing transport corridors including the Sunbury and Craigieburn rail lines, the Calder and Hume freeways and arterial roads; an AusNet 500kV high voltage overhead powerline easement; an APA pipeline easement associated with the Sunbury Pipeline, Keon</w:t>
            </w:r>
            <w:r w:rsidR="00295CCD">
              <w:t> </w:t>
            </w:r>
            <w:r w:rsidRPr="00295CCD">
              <w:t>Park to Wollert pipeline and the VNI; and drainage reserves in the</w:t>
            </w:r>
            <w:r w:rsidR="00295CCD">
              <w:t> </w:t>
            </w:r>
            <w:r w:rsidRPr="00295CCD">
              <w:t>region.</w:t>
            </w:r>
          </w:p>
        </w:tc>
      </w:tr>
      <w:tr w:rsidR="000017BE" w:rsidRPr="00295CCD" w14:paraId="793EDB5A" w14:textId="77777777" w:rsidTr="00295CCD">
        <w:tc>
          <w:tcPr>
            <w:tcW w:w="3114" w:type="dxa"/>
          </w:tcPr>
          <w:p w14:paraId="605D3069" w14:textId="1CD41AE8" w:rsidR="000017BE" w:rsidRPr="00295CCD" w:rsidRDefault="000017BE" w:rsidP="00295CCD">
            <w:pPr>
              <w:pStyle w:val="TableText"/>
              <w:rPr>
                <w:rStyle w:val="CharacterStyle-BaseColour"/>
              </w:rPr>
            </w:pPr>
            <w:r w:rsidRPr="00295CCD">
              <w:rPr>
                <w:rStyle w:val="CharacterStyle-BaseColour"/>
              </w:rPr>
              <w:t>Heritage</w:t>
            </w:r>
          </w:p>
        </w:tc>
        <w:tc>
          <w:tcPr>
            <w:tcW w:w="5946" w:type="dxa"/>
          </w:tcPr>
          <w:p w14:paraId="72170C46" w14:textId="2846B21C" w:rsidR="000017BE" w:rsidRPr="00295CCD" w:rsidRDefault="000017BE" w:rsidP="00295CCD">
            <w:pPr>
              <w:pStyle w:val="TableText"/>
            </w:pPr>
            <w:r w:rsidRPr="00295CCD">
              <w:t xml:space="preserve">Features of Aboriginal and European cultural heritage significance, including sites listed on the Victorian Heritage Register and Inventory such as the Holden cobbled stone road, Mickleham Avenue of Honour, Merri Creek, Jacksons </w:t>
            </w:r>
            <w:proofErr w:type="gramStart"/>
            <w:r w:rsidRPr="00295CCD">
              <w:t>Creek</w:t>
            </w:r>
            <w:proofErr w:type="gramEnd"/>
            <w:r w:rsidRPr="00295CCD">
              <w:t xml:space="preserve"> and other places of regional significance.</w:t>
            </w:r>
          </w:p>
        </w:tc>
      </w:tr>
    </w:tbl>
    <w:p w14:paraId="2592A24B" w14:textId="77777777" w:rsidR="00563D40" w:rsidRDefault="00563D40" w:rsidP="00563D40">
      <w:pPr>
        <w:pStyle w:val="Source"/>
      </w:pPr>
    </w:p>
    <w:p w14:paraId="4E6CC4AD" w14:textId="4C48810D" w:rsidR="004A31C6" w:rsidRDefault="004A31C6" w:rsidP="004A31C6">
      <w:pPr>
        <w:pStyle w:val="Caption"/>
      </w:pPr>
      <w:bookmarkStart w:id="26" w:name="_Ref47519847"/>
      <w:r>
        <w:lastRenderedPageBreak/>
        <w:t>Figure</w:t>
      </w:r>
      <w:r w:rsidR="00563D40">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7253FE">
        <w:noBreakHyphen/>
      </w:r>
      <w:r w:rsidR="00D21058">
        <w:fldChar w:fldCharType="begin"/>
      </w:r>
      <w:r w:rsidR="00D21058">
        <w:instrText xml:space="preserve"> SEQ Figure \* ARABIC \s 1 </w:instrText>
      </w:r>
      <w:r w:rsidR="00D21058">
        <w:fldChar w:fldCharType="separate"/>
      </w:r>
      <w:r w:rsidR="00BA1E56">
        <w:rPr>
          <w:noProof/>
        </w:rPr>
        <w:t>2</w:t>
      </w:r>
      <w:r w:rsidR="00D21058">
        <w:rPr>
          <w:noProof/>
        </w:rPr>
        <w:fldChar w:fldCharType="end"/>
      </w:r>
      <w:bookmarkEnd w:id="26"/>
      <w:r w:rsidR="00563D40">
        <w:tab/>
      </w:r>
      <w:r>
        <w:t>Key Features Overview Map</w:t>
      </w:r>
    </w:p>
    <w:p w14:paraId="22FB67D0" w14:textId="2A5C4B59" w:rsidR="004A31C6" w:rsidRDefault="00F71410" w:rsidP="00563D40">
      <w:pPr>
        <w:pStyle w:val="Object"/>
      </w:pPr>
      <w:r w:rsidRPr="00F71410">
        <w:rPr>
          <w:noProof/>
        </w:rPr>
        <w:drawing>
          <wp:inline distT="0" distB="0" distL="0" distR="0" wp14:anchorId="78C9C32D" wp14:editId="3EC7C962">
            <wp:extent cx="5759450" cy="5554980"/>
            <wp:effectExtent l="0" t="0" r="0" b="7620"/>
            <wp:docPr id="8" name="Picture 8" descr="This figure shows a map containing key features surrounding the WORM alignment. The map shows the WORM alignment which travels from Plumpton (to the west of Melbourne) to Wollert (north of Melbourne). Key features presented on the map include the following:&#10;- Key established urban areas are located primarily to the south of the WORM alignment. &#10;- Precinct structure plans and future growth areas are located primarily surrounding Wollert and the north of the alignment. These areas are also located near and to the north of Plumpton.&#10;- Ecological Vegetation Classes (EVCs) are scattered throughout the map primarily to the fringes of the established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a map containing key features surrounding the WORM alignment. The map shows the WORM alignment which travels from Plumpton (to the west of Melbourne) to Wollert (north of Melbourne). Key features presented on the map include the following:&#10;- Key established urban areas are located primarily to the south of the WORM alignment. &#10;- Precinct structure plans and future growth areas are located primarily surrounding Wollert and the north of the alignment. These areas are also located near and to the north of Plumpton.&#10;- Ecological Vegetation Classes (EVCs) are scattered throughout the map primarily to the fringes of the established urban areas."/>
                    <pic:cNvPicPr/>
                  </pic:nvPicPr>
                  <pic:blipFill>
                    <a:blip r:embed="rId20"/>
                    <a:stretch>
                      <a:fillRect/>
                    </a:stretch>
                  </pic:blipFill>
                  <pic:spPr>
                    <a:xfrm>
                      <a:off x="0" y="0"/>
                      <a:ext cx="5759450" cy="5554980"/>
                    </a:xfrm>
                    <a:prstGeom prst="rect">
                      <a:avLst/>
                    </a:prstGeom>
                  </pic:spPr>
                </pic:pic>
              </a:graphicData>
            </a:graphic>
          </wp:inline>
        </w:drawing>
      </w:r>
    </w:p>
    <w:p w14:paraId="31C352D9" w14:textId="77777777" w:rsidR="00563D40" w:rsidRPr="00563D40" w:rsidRDefault="00563D40" w:rsidP="00563D40">
      <w:pPr>
        <w:pStyle w:val="Source"/>
      </w:pPr>
    </w:p>
    <w:p w14:paraId="197949C9" w14:textId="2659B0FC" w:rsidR="00AB4088" w:rsidRDefault="00AB4088" w:rsidP="00295CCD">
      <w:pPr>
        <w:pStyle w:val="Heading2"/>
        <w:pageBreakBefore/>
      </w:pPr>
      <w:bookmarkStart w:id="27" w:name="_Toc71242070"/>
      <w:bookmarkStart w:id="28" w:name="_Toc72198636"/>
      <w:r>
        <w:lastRenderedPageBreak/>
        <w:t>Climate change consideration</w:t>
      </w:r>
      <w:r w:rsidR="007152F9">
        <w:t>s</w:t>
      </w:r>
      <w:bookmarkEnd w:id="27"/>
      <w:bookmarkEnd w:id="28"/>
    </w:p>
    <w:p w14:paraId="5D105CD0" w14:textId="008A66F0" w:rsidR="00AB4088" w:rsidRDefault="00353AB2" w:rsidP="00AB4088">
      <w:pPr>
        <w:pStyle w:val="BodyText"/>
      </w:pPr>
      <w:r>
        <w:t xml:space="preserve">Development of the </w:t>
      </w:r>
      <w:r w:rsidR="00AB4088">
        <w:t xml:space="preserve">design has </w:t>
      </w:r>
      <w:proofErr w:type="gramStart"/>
      <w:r w:rsidR="00AB4088">
        <w:t xml:space="preserve">taken </w:t>
      </w:r>
      <w:r>
        <w:t xml:space="preserve">into </w:t>
      </w:r>
      <w:r w:rsidR="00AB4088">
        <w:t>account</w:t>
      </w:r>
      <w:proofErr w:type="gramEnd"/>
      <w:r w:rsidR="00AB4088">
        <w:t xml:space="preserve"> </w:t>
      </w:r>
      <w:r>
        <w:t>potential risks to the Project due to</w:t>
      </w:r>
      <w:r w:rsidR="00AB4088">
        <w:t xml:space="preserve"> climate change. In response to feedback from the Technical Reference Group during development of the EES, a </w:t>
      </w:r>
      <w:r>
        <w:t>high-level</w:t>
      </w:r>
      <w:r w:rsidR="00AB4088">
        <w:t xml:space="preserve"> risk assessment was conducted for the Project to document </w:t>
      </w:r>
      <w:r>
        <w:t xml:space="preserve">the </w:t>
      </w:r>
      <w:r w:rsidR="00AB4088">
        <w:t>potential impacts of climate change</w:t>
      </w:r>
      <w:r>
        <w:t>,</w:t>
      </w:r>
      <w:r w:rsidR="00AB4088">
        <w:t xml:space="preserve"> using the Victoria Climate Projection</w:t>
      </w:r>
      <w:r w:rsidR="00525E55">
        <w:t>s Technical Report</w:t>
      </w:r>
      <w:r w:rsidR="00AB4088">
        <w:t xml:space="preserve"> 2019. The risk assessment provided confirmation that the design approach and operational management system appropriately addresses </w:t>
      </w:r>
      <w:r w:rsidR="00525E55">
        <w:t xml:space="preserve">the </w:t>
      </w:r>
      <w:r w:rsidR="00AB4088">
        <w:t xml:space="preserve">potential impacts of climate change. </w:t>
      </w:r>
    </w:p>
    <w:p w14:paraId="57C58BA0" w14:textId="775EC58E" w:rsidR="00AB4088" w:rsidRDefault="00AB4088" w:rsidP="00AB4088">
      <w:pPr>
        <w:pStyle w:val="BodyText"/>
      </w:pPr>
      <w:r>
        <w:t>The risk assessment was performed in accordance with the Australian Standard AS 5334:2013 Climate change adaptation for settlements and infrastructure – A risk-based approach. The</w:t>
      </w:r>
      <w:r w:rsidR="0081742E">
        <w:t> </w:t>
      </w:r>
      <w:r>
        <w:t xml:space="preserve">assessment addresses the requirements of Section 17 (3) of the </w:t>
      </w:r>
      <w:r w:rsidRPr="00676DB8">
        <w:rPr>
          <w:rStyle w:val="Italics"/>
        </w:rPr>
        <w:t>Climate Change Act 2017</w:t>
      </w:r>
      <w:r>
        <w:t xml:space="preserve"> (CC Act). The risk assessment was undertaken for the Project infrastructure for </w:t>
      </w:r>
      <w:r w:rsidR="00525E55">
        <w:t xml:space="preserve">the </w:t>
      </w:r>
      <w:r>
        <w:t>extreme</w:t>
      </w:r>
      <w:r w:rsidR="00525E55">
        <w:t>ly</w:t>
      </w:r>
      <w:r>
        <w:t xml:space="preserve"> plausible scenario</w:t>
      </w:r>
      <w:r w:rsidR="00295CCD">
        <w:t> </w:t>
      </w:r>
      <w:r>
        <w:t>of future greenhouse gas emissions, which is also referred to as</w:t>
      </w:r>
      <w:r w:rsidR="00525E55">
        <w:t xml:space="preserve"> the</w:t>
      </w:r>
      <w:r>
        <w:t xml:space="preserve"> “Business as usual” scenario by the Intergovernmental Panel on Climate Change. The assessment considered </w:t>
      </w:r>
      <w:r w:rsidR="00525E55">
        <w:t xml:space="preserve">current conditions as well as </w:t>
      </w:r>
      <w:r>
        <w:t xml:space="preserve">two </w:t>
      </w:r>
      <w:r w:rsidR="00525E55">
        <w:t xml:space="preserve">future </w:t>
      </w:r>
      <w:r>
        <w:t>time horizons - 2030 (near term) and 20</w:t>
      </w:r>
      <w:r w:rsidR="00525E55">
        <w:t>5</w:t>
      </w:r>
      <w:r>
        <w:t xml:space="preserve">0 (long term) </w:t>
      </w:r>
      <w:r w:rsidR="00525E55">
        <w:t>when</w:t>
      </w:r>
      <w:r>
        <w:t xml:space="preserve"> identify</w:t>
      </w:r>
      <w:r w:rsidR="00525E55">
        <w:t>ing</w:t>
      </w:r>
      <w:r>
        <w:t xml:space="preserve"> climate risks.</w:t>
      </w:r>
    </w:p>
    <w:p w14:paraId="508A60D3" w14:textId="2D937DF5" w:rsidR="00AB4088" w:rsidRDefault="00AB4088" w:rsidP="00AB4088">
      <w:pPr>
        <w:pStyle w:val="BodyText"/>
      </w:pPr>
      <w:r>
        <w:t xml:space="preserve">Historic climate data and climate projection data was sourced from the Victoria Climate Projections Technical Report 2019, Goulburn Climate Projections 2019, and </w:t>
      </w:r>
      <w:r w:rsidR="00525E55">
        <w:t xml:space="preserve">the </w:t>
      </w:r>
      <w:r>
        <w:t>Bureau of Meteorology (Tatura Inst</w:t>
      </w:r>
      <w:r w:rsidR="00525E55">
        <w:t>itute of</w:t>
      </w:r>
      <w:r>
        <w:t xml:space="preserve"> Sustainable Ag</w:t>
      </w:r>
      <w:r w:rsidR="00525E55">
        <w:t>riculture</w:t>
      </w:r>
      <w:r>
        <w:t xml:space="preserve"> </w:t>
      </w:r>
      <w:r w:rsidR="00525E55">
        <w:t>1</w:t>
      </w:r>
      <w:r>
        <w:t>986-2005 data)</w:t>
      </w:r>
      <w:r w:rsidR="00525E55">
        <w:t xml:space="preserve"> 2019</w:t>
      </w:r>
      <w:r>
        <w:t xml:space="preserve">. Based on the climatic projections, a total of </w:t>
      </w:r>
      <w:r w:rsidR="00525E55">
        <w:t>16</w:t>
      </w:r>
      <w:r>
        <w:t xml:space="preserve"> climate change risks (direct and indirect) were identified for Project infrastructure relating to five major climate hazards: extreme temperature, extreme rainfall, drought, </w:t>
      </w:r>
      <w:proofErr w:type="gramStart"/>
      <w:r>
        <w:t>bushfire</w:t>
      </w:r>
      <w:proofErr w:type="gramEnd"/>
      <w:r>
        <w:t xml:space="preserve"> and storm.</w:t>
      </w:r>
    </w:p>
    <w:p w14:paraId="67B1677A" w14:textId="3AFB5B30" w:rsidR="00AB4088" w:rsidRDefault="00525E55" w:rsidP="00AB4088">
      <w:pPr>
        <w:pStyle w:val="BodyText"/>
      </w:pPr>
      <w:r>
        <w:t xml:space="preserve">The risk assessment considered existing and planned controls that </w:t>
      </w:r>
      <w:r w:rsidR="008B1872">
        <w:t>would</w:t>
      </w:r>
      <w:r>
        <w:t xml:space="preserve"> mitigate the potential impacts associate with the </w:t>
      </w:r>
      <w:r w:rsidR="00353AB2">
        <w:t xml:space="preserve">16 </w:t>
      </w:r>
      <w:r>
        <w:t>identified climate change risks.</w:t>
      </w:r>
      <w:r w:rsidR="00AB4088">
        <w:t xml:space="preserve"> </w:t>
      </w:r>
      <w:r w:rsidR="008B1872">
        <w:t xml:space="preserve">These existing and planned controls are typically </w:t>
      </w:r>
      <w:r w:rsidR="00AB4088">
        <w:t xml:space="preserve">standard design features or adaptation measures </w:t>
      </w:r>
      <w:r w:rsidR="008B1872">
        <w:t xml:space="preserve">adopted by APA </w:t>
      </w:r>
      <w:r w:rsidR="00AB4088">
        <w:t xml:space="preserve">which </w:t>
      </w:r>
      <w:r w:rsidR="008B1872">
        <w:t xml:space="preserve">would </w:t>
      </w:r>
      <w:r w:rsidR="00AB4088">
        <w:t xml:space="preserve">significantly reduce the </w:t>
      </w:r>
      <w:r w:rsidR="00353AB2">
        <w:t>likelihood of occurrence and consequences of potential impacts</w:t>
      </w:r>
      <w:r w:rsidR="00AB4088">
        <w:t>.</w:t>
      </w:r>
      <w:r w:rsidR="008B1872">
        <w:t xml:space="preserve"> </w:t>
      </w:r>
      <w:r w:rsidR="00AB4088">
        <w:t>Examples of relevant controls include:</w:t>
      </w:r>
    </w:p>
    <w:p w14:paraId="1BDB9195" w14:textId="57E61EB2" w:rsidR="00AB4088" w:rsidRDefault="00AB4088" w:rsidP="00AB4088">
      <w:pPr>
        <w:pStyle w:val="BodyBullet1"/>
      </w:pPr>
      <w:r>
        <w:t>Design</w:t>
      </w:r>
      <w:r w:rsidR="00353AB2">
        <w:t xml:space="preserve">ing infrastructure to withstand </w:t>
      </w:r>
      <w:r>
        <w:t>temperatures above climate projections</w:t>
      </w:r>
    </w:p>
    <w:p w14:paraId="553F0E9D" w14:textId="2CA26739" w:rsidR="00AB4088" w:rsidRDefault="00B5754A" w:rsidP="00AB4088">
      <w:pPr>
        <w:pStyle w:val="BodyBullet1"/>
      </w:pPr>
      <w:r w:rsidRPr="00B5754A">
        <w:t xml:space="preserve">Design of </w:t>
      </w:r>
      <w:r w:rsidR="00353AB2">
        <w:t>e</w:t>
      </w:r>
      <w:r w:rsidR="00AB4088">
        <w:t xml:space="preserve">lectrical equipment </w:t>
      </w:r>
      <w:r w:rsidRPr="00B5754A">
        <w:t>for</w:t>
      </w:r>
      <w:r w:rsidR="00AB4088">
        <w:t xml:space="preserve"> </w:t>
      </w:r>
      <w:r w:rsidR="00353AB2">
        <w:t xml:space="preserve">the </w:t>
      </w:r>
      <w:r w:rsidR="00AB4088">
        <w:t>1</w:t>
      </w:r>
      <w:r w:rsidRPr="00B5754A">
        <w:t>:</w:t>
      </w:r>
      <w:proofErr w:type="gramStart"/>
      <w:r w:rsidR="00AB4088">
        <w:t>100</w:t>
      </w:r>
      <w:r w:rsidR="00563D40">
        <w:t xml:space="preserve"> </w:t>
      </w:r>
      <w:r w:rsidR="00AB4088">
        <w:t>year</w:t>
      </w:r>
      <w:proofErr w:type="gramEnd"/>
      <w:r w:rsidR="00AB4088">
        <w:t xml:space="preserve"> flood event</w:t>
      </w:r>
      <w:r w:rsidRPr="00B5754A">
        <w:t xml:space="preserve"> </w:t>
      </w:r>
      <w:r w:rsidR="00353AB2">
        <w:t xml:space="preserve">Designing the pipeline with consideration of potential </w:t>
      </w:r>
      <w:r w:rsidR="00AB4088">
        <w:t>erosion risk</w:t>
      </w:r>
      <w:r w:rsidR="00353AB2">
        <w:t>s</w:t>
      </w:r>
    </w:p>
    <w:p w14:paraId="6F20815D" w14:textId="4F50924B" w:rsidR="00AB4088" w:rsidRDefault="00353AB2" w:rsidP="00AB4088">
      <w:pPr>
        <w:pStyle w:val="BodyBullet1"/>
      </w:pPr>
      <w:r>
        <w:t>Undertaking r</w:t>
      </w:r>
      <w:r w:rsidR="00AB4088">
        <w:t>egular inspections during operation to identify signs of change</w:t>
      </w:r>
      <w:r>
        <w:t>,</w:t>
      </w:r>
      <w:r w:rsidR="00AB4088">
        <w:t xml:space="preserve"> such as subsidence</w:t>
      </w:r>
    </w:p>
    <w:p w14:paraId="4D0FAEF1" w14:textId="77777777" w:rsidR="00AB4088" w:rsidRPr="00676DB8" w:rsidRDefault="00AB4088" w:rsidP="00AB4088">
      <w:pPr>
        <w:pStyle w:val="BodyBullet1"/>
      </w:pPr>
      <w:r>
        <w:t>APA's Bushfire Management Plan.</w:t>
      </w:r>
    </w:p>
    <w:p w14:paraId="673A7DC8" w14:textId="12777620" w:rsidR="008B1872" w:rsidRDefault="008B1872" w:rsidP="00AB4088">
      <w:pPr>
        <w:pStyle w:val="BodyText"/>
      </w:pPr>
      <w:r>
        <w:t xml:space="preserve">After taking into account the existing and planned controls that would be adopted by APA, all residual risks potentially resulting from climate change were rated as low across the current, </w:t>
      </w:r>
      <w:proofErr w:type="gramStart"/>
      <w:r>
        <w:t>2030 and 2050 time</w:t>
      </w:r>
      <w:proofErr w:type="gramEnd"/>
      <w:r>
        <w:t xml:space="preserve"> horizons.</w:t>
      </w:r>
    </w:p>
    <w:p w14:paraId="6DB72B97" w14:textId="610918B1" w:rsidR="00AB4088" w:rsidRDefault="00AB4088" w:rsidP="00AB4088">
      <w:pPr>
        <w:pStyle w:val="BodyText"/>
      </w:pPr>
      <w:r>
        <w:t xml:space="preserve">The construction period would be in the very short term (late 2021 to mid 2022) and is relevant to the current </w:t>
      </w:r>
      <w:proofErr w:type="gramStart"/>
      <w:r>
        <w:t>time period</w:t>
      </w:r>
      <w:proofErr w:type="gramEnd"/>
      <w:r>
        <w:t xml:space="preserve"> only. Climate change risks in this time horizon do not warrant specific mitigation and would be appropriately accounted for through current construction techniques and adherence to appropriate construction guidelines (such as EPA Publication </w:t>
      </w:r>
      <w:r w:rsidRPr="002B5C6E">
        <w:t>1834: Civil construction, building and demolition guide</w:t>
      </w:r>
      <w:r>
        <w:t xml:space="preserve">). </w:t>
      </w:r>
    </w:p>
    <w:p w14:paraId="05149A39" w14:textId="77777777" w:rsidR="00D61D7B" w:rsidRPr="00D61D7B" w:rsidRDefault="00D61D7B" w:rsidP="00295CCD">
      <w:pPr>
        <w:pStyle w:val="Heading2"/>
        <w:pageBreakBefore/>
      </w:pPr>
      <w:bookmarkStart w:id="29" w:name="_Toc62758917"/>
      <w:bookmarkStart w:id="30" w:name="_Toc71242071"/>
      <w:bookmarkStart w:id="31" w:name="_Toc72198637"/>
      <w:r w:rsidRPr="00D07273">
        <w:lastRenderedPageBreak/>
        <w:t xml:space="preserve">Options </w:t>
      </w:r>
      <w:r w:rsidRPr="00D61D7B">
        <w:t>evaluation framework</w:t>
      </w:r>
      <w:bookmarkEnd w:id="29"/>
      <w:bookmarkEnd w:id="30"/>
      <w:bookmarkEnd w:id="31"/>
    </w:p>
    <w:p w14:paraId="026D2446" w14:textId="38F2FA52" w:rsidR="00D61D7B" w:rsidRPr="001200A2" w:rsidRDefault="00D61D7B" w:rsidP="001200A2">
      <w:pPr>
        <w:pStyle w:val="BodyText"/>
      </w:pPr>
      <w:r w:rsidRPr="001200A2">
        <w:t xml:space="preserve">To assess the various </w:t>
      </w:r>
      <w:r w:rsidR="00F46095">
        <w:t>options</w:t>
      </w:r>
      <w:r w:rsidR="00F46095" w:rsidRPr="001200A2">
        <w:t xml:space="preserve"> </w:t>
      </w:r>
      <w:r w:rsidRPr="001200A2">
        <w:t xml:space="preserve">for a pipeline alignment for </w:t>
      </w:r>
      <w:r w:rsidR="00F46095">
        <w:t>the Project</w:t>
      </w:r>
      <w:r w:rsidRPr="001200A2">
        <w:t>, APA developed a set of qualitative and quantitative evaluation criteria</w:t>
      </w:r>
      <w:r w:rsidR="00F46095">
        <w:t>.</w:t>
      </w:r>
    </w:p>
    <w:p w14:paraId="3015414F" w14:textId="5C79F254" w:rsidR="00D61D7B" w:rsidRPr="001200A2" w:rsidRDefault="00D61D7B" w:rsidP="001200A2">
      <w:pPr>
        <w:pStyle w:val="BodyText"/>
      </w:pPr>
      <w:r w:rsidRPr="001200A2">
        <w:t>The evaluation criteria w</w:t>
      </w:r>
      <w:r w:rsidR="00F46095">
        <w:t>ere</w:t>
      </w:r>
      <w:r w:rsidRPr="001200A2">
        <w:t xml:space="preserve"> developed in line with the objectives of the Pipelines Act, the </w:t>
      </w:r>
      <w:r w:rsidRPr="00C51E7D">
        <w:rPr>
          <w:rStyle w:val="Italics"/>
        </w:rPr>
        <w:t>Australian Pipelines and Gas Association (APGA) Code of Environmental Practice and Australian Standard 2885: Pipelines – Gas and Liquid Petroleum</w:t>
      </w:r>
      <w:r w:rsidRPr="001200A2">
        <w:t xml:space="preserve">. </w:t>
      </w:r>
    </w:p>
    <w:p w14:paraId="3A77502A" w14:textId="77777777" w:rsidR="00D61D7B" w:rsidRPr="001200A2" w:rsidRDefault="00D61D7B" w:rsidP="001200A2">
      <w:pPr>
        <w:pStyle w:val="BodyText"/>
      </w:pPr>
      <w:r w:rsidRPr="001200A2">
        <w:t>Once criteria were identified, a ranking and scoring system was then applied to the criteria using a multi-criteria analysis (MCA) assessment approach. The MCA approach is typically used for large-scale infrastructure projects where various design options and competing factors need to be considered and balanced.</w:t>
      </w:r>
    </w:p>
    <w:p w14:paraId="0E4B2B49" w14:textId="3909C54D" w:rsidR="00D61D7B" w:rsidRDefault="00D61D7B" w:rsidP="001200A2">
      <w:pPr>
        <w:pStyle w:val="BodyText"/>
      </w:pPr>
      <w:r w:rsidRPr="001200A2">
        <w:t xml:space="preserve">The evaluation criteria and weightings used in the MCA for the options evaluation is depicted in </w:t>
      </w:r>
      <w:r w:rsidRPr="001200A2">
        <w:fldChar w:fldCharType="begin"/>
      </w:r>
      <w:r w:rsidRPr="001200A2">
        <w:instrText xml:space="preserve"> REF _Ref46247460 \h  \* MERGEFORMAT </w:instrText>
      </w:r>
      <w:r w:rsidRPr="001200A2">
        <w:fldChar w:fldCharType="separate"/>
      </w:r>
      <w:r w:rsidR="00BA1E56" w:rsidRPr="00D61D7B">
        <w:t>Table</w:t>
      </w:r>
      <w:r w:rsidR="00BA1E56">
        <w:t> 3</w:t>
      </w:r>
      <w:r w:rsidR="00BA1E56">
        <w:noBreakHyphen/>
        <w:t>2</w:t>
      </w:r>
      <w:r w:rsidRPr="001200A2">
        <w:fldChar w:fldCharType="end"/>
      </w:r>
      <w:r w:rsidRPr="001200A2">
        <w:t>.</w:t>
      </w:r>
    </w:p>
    <w:p w14:paraId="5AE2E218" w14:textId="465E4B87" w:rsidR="00430A7F" w:rsidRPr="001200A2" w:rsidRDefault="00430A7F" w:rsidP="001200A2">
      <w:pPr>
        <w:pStyle w:val="BodyText"/>
      </w:pPr>
      <w:r>
        <w:t xml:space="preserve">It should be noted that the options evaluation framework </w:t>
      </w:r>
      <w:r w:rsidR="00B35432">
        <w:t xml:space="preserve">was </w:t>
      </w:r>
      <w:r>
        <w:t>developed and used for identification and assessment of options in 2018</w:t>
      </w:r>
      <w:r w:rsidR="0042648F">
        <w:t xml:space="preserve"> to 20</w:t>
      </w:r>
      <w:r>
        <w:t>19</w:t>
      </w:r>
      <w:r w:rsidR="00B35432">
        <w:t xml:space="preserve">. While the evaluation criteria were developed in line with the objectives of the Pipelines Act, the criteria align with </w:t>
      </w:r>
      <w:r w:rsidR="0042648F">
        <w:t xml:space="preserve">relevant considerations under the EE Act and EPBC Act. </w:t>
      </w:r>
    </w:p>
    <w:p w14:paraId="74C842B1" w14:textId="36A3C125" w:rsidR="00D61D7B" w:rsidRDefault="00D61D7B" w:rsidP="001200A2">
      <w:pPr>
        <w:pStyle w:val="Caption"/>
      </w:pPr>
      <w:bookmarkStart w:id="32" w:name="_Ref46247460"/>
      <w:bookmarkStart w:id="33" w:name="_Ref46247356"/>
      <w:r w:rsidRPr="00D61D7B">
        <w:t>Table</w:t>
      </w:r>
      <w:r w:rsidR="00563D40">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9156F0">
        <w:noBreakHyphen/>
      </w:r>
      <w:r w:rsidR="00D21058">
        <w:fldChar w:fldCharType="begin"/>
      </w:r>
      <w:r w:rsidR="00D21058">
        <w:instrText xml:space="preserve"> SEQ Table \* ARABIC \s 1 </w:instrText>
      </w:r>
      <w:r w:rsidR="00D21058">
        <w:fldChar w:fldCharType="separate"/>
      </w:r>
      <w:r w:rsidR="00BA1E56">
        <w:rPr>
          <w:noProof/>
        </w:rPr>
        <w:t>2</w:t>
      </w:r>
      <w:r w:rsidR="00D21058">
        <w:rPr>
          <w:noProof/>
        </w:rPr>
        <w:fldChar w:fldCharType="end"/>
      </w:r>
      <w:bookmarkEnd w:id="32"/>
      <w:bookmarkEnd w:id="33"/>
      <w:r w:rsidR="00563D40">
        <w:tab/>
      </w:r>
      <w:r w:rsidRPr="00D61D7B">
        <w:t>Evaluation criteria and weightings</w:t>
      </w:r>
      <w:r w:rsidR="00076F49">
        <w:rPr>
          <w:rStyle w:val="FootnoteReference"/>
        </w:rPr>
        <w:footnoteReference w:id="3"/>
      </w:r>
    </w:p>
    <w:tbl>
      <w:tblPr>
        <w:tblStyle w:val="MainTableStyle"/>
        <w:tblW w:w="0" w:type="auto"/>
        <w:tblLayout w:type="fixed"/>
        <w:tblCellMar>
          <w:left w:w="85" w:type="dxa"/>
          <w:right w:w="85" w:type="dxa"/>
        </w:tblCellMar>
        <w:tblLook w:val="0460" w:firstRow="1" w:lastRow="1" w:firstColumn="0" w:lastColumn="0" w:noHBand="0" w:noVBand="1"/>
      </w:tblPr>
      <w:tblGrid>
        <w:gridCol w:w="1409"/>
        <w:gridCol w:w="6663"/>
        <w:gridCol w:w="988"/>
      </w:tblGrid>
      <w:tr w:rsidR="00295CCD" w:rsidRPr="00295CCD" w14:paraId="1BDA8DBC" w14:textId="77777777" w:rsidTr="00295CCD">
        <w:trPr>
          <w:cnfStyle w:val="100000000000" w:firstRow="1" w:lastRow="0" w:firstColumn="0" w:lastColumn="0" w:oddVBand="0" w:evenVBand="0" w:oddHBand="0" w:evenHBand="0" w:firstRowFirstColumn="0" w:firstRowLastColumn="0" w:lastRowFirstColumn="0" w:lastRowLastColumn="0"/>
          <w:cantSplit w:val="0"/>
        </w:trPr>
        <w:tc>
          <w:tcPr>
            <w:tcW w:w="1409" w:type="dxa"/>
          </w:tcPr>
          <w:p w14:paraId="7685577A" w14:textId="7744583D" w:rsidR="001200A2" w:rsidRPr="00295CCD" w:rsidRDefault="001200A2" w:rsidP="00295CCD">
            <w:pPr>
              <w:pStyle w:val="TableText"/>
            </w:pPr>
            <w:r w:rsidRPr="00295CCD">
              <w:t>Parameter</w:t>
            </w:r>
          </w:p>
        </w:tc>
        <w:tc>
          <w:tcPr>
            <w:tcW w:w="6663" w:type="dxa"/>
          </w:tcPr>
          <w:p w14:paraId="7479DAE7" w14:textId="7C80D491" w:rsidR="001200A2" w:rsidRPr="00295CCD" w:rsidRDefault="001200A2" w:rsidP="00295CCD">
            <w:pPr>
              <w:pStyle w:val="TableText"/>
            </w:pPr>
            <w:r w:rsidRPr="00295CCD">
              <w:t>Criteria</w:t>
            </w:r>
          </w:p>
        </w:tc>
        <w:tc>
          <w:tcPr>
            <w:tcW w:w="988" w:type="dxa"/>
          </w:tcPr>
          <w:p w14:paraId="01CFCC3A" w14:textId="277A366B" w:rsidR="001200A2" w:rsidRPr="00295CCD" w:rsidRDefault="001200A2" w:rsidP="00295CCD">
            <w:pPr>
              <w:pStyle w:val="TableText"/>
              <w:jc w:val="center"/>
            </w:pPr>
            <w:r w:rsidRPr="00295CCD">
              <w:t>Weighting</w:t>
            </w:r>
          </w:p>
        </w:tc>
      </w:tr>
      <w:tr w:rsidR="00295CCD" w:rsidRPr="00295CCD" w14:paraId="4E79B38C" w14:textId="77777777" w:rsidTr="00295CCD">
        <w:tc>
          <w:tcPr>
            <w:tcW w:w="1409" w:type="dxa"/>
          </w:tcPr>
          <w:p w14:paraId="4F412ABC" w14:textId="327766D0" w:rsidR="008236E9" w:rsidRPr="00295CCD" w:rsidRDefault="008236E9" w:rsidP="00295CCD">
            <w:pPr>
              <w:pStyle w:val="TableText"/>
            </w:pPr>
            <w:r w:rsidRPr="00295CCD">
              <w:t>Environment and heritage</w:t>
            </w:r>
          </w:p>
        </w:tc>
        <w:tc>
          <w:tcPr>
            <w:tcW w:w="6663" w:type="dxa"/>
          </w:tcPr>
          <w:p w14:paraId="1211503B" w14:textId="3BEE1B76" w:rsidR="008236E9" w:rsidRPr="00295CCD" w:rsidRDefault="008236E9" w:rsidP="00295CCD">
            <w:pPr>
              <w:pStyle w:val="TableText"/>
            </w:pPr>
            <w:r w:rsidRPr="00295CCD">
              <w:t>Special biodiversity values, length of MSA conservation areas intersected, length of threatened ecological communities intersected, extent of remnant vegetation, watercourses, wetlands, floodplains, registered heritage sites, cultural</w:t>
            </w:r>
            <w:r w:rsidR="00B7027F" w:rsidRPr="00295CCD">
              <w:t xml:space="preserve"> heritage sensitivity, native title claims, amenity impacts (noise, dust, visual)</w:t>
            </w:r>
          </w:p>
        </w:tc>
        <w:tc>
          <w:tcPr>
            <w:tcW w:w="988" w:type="dxa"/>
          </w:tcPr>
          <w:p w14:paraId="3D3FAA6C" w14:textId="4E4B1BD4" w:rsidR="008236E9" w:rsidRPr="00295CCD" w:rsidRDefault="008236E9" w:rsidP="00295CCD">
            <w:pPr>
              <w:pStyle w:val="TableText"/>
              <w:jc w:val="center"/>
            </w:pPr>
            <w:r w:rsidRPr="00295CCD">
              <w:t>20%</w:t>
            </w:r>
          </w:p>
        </w:tc>
      </w:tr>
      <w:tr w:rsidR="00295CCD" w:rsidRPr="00295CCD" w14:paraId="3C78F9BD" w14:textId="77777777" w:rsidTr="00295CCD">
        <w:tc>
          <w:tcPr>
            <w:tcW w:w="1409" w:type="dxa"/>
          </w:tcPr>
          <w:p w14:paraId="48C977CB" w14:textId="2CD34087" w:rsidR="008236E9" w:rsidRPr="00295CCD" w:rsidRDefault="008236E9" w:rsidP="00295CCD">
            <w:pPr>
              <w:pStyle w:val="TableText"/>
            </w:pPr>
            <w:r w:rsidRPr="00295CCD">
              <w:t>Community</w:t>
            </w:r>
          </w:p>
        </w:tc>
        <w:tc>
          <w:tcPr>
            <w:tcW w:w="6663" w:type="dxa"/>
          </w:tcPr>
          <w:p w14:paraId="74058142" w14:textId="57F2D98A" w:rsidR="008236E9" w:rsidRPr="00295CCD" w:rsidRDefault="008236E9" w:rsidP="00295CCD">
            <w:pPr>
              <w:pStyle w:val="TableText"/>
            </w:pPr>
            <w:r w:rsidRPr="00295CCD">
              <w:t>Potential community benefit, community safety, impacts to known areas of high value to the community</w:t>
            </w:r>
          </w:p>
        </w:tc>
        <w:tc>
          <w:tcPr>
            <w:tcW w:w="988" w:type="dxa"/>
          </w:tcPr>
          <w:p w14:paraId="123CAB01" w14:textId="29C2AF7E" w:rsidR="008236E9" w:rsidRPr="00295CCD" w:rsidRDefault="008236E9" w:rsidP="00295CCD">
            <w:pPr>
              <w:pStyle w:val="TableText"/>
              <w:jc w:val="center"/>
            </w:pPr>
            <w:r w:rsidRPr="00295CCD">
              <w:t>20%</w:t>
            </w:r>
          </w:p>
        </w:tc>
      </w:tr>
      <w:tr w:rsidR="00295CCD" w:rsidRPr="00295CCD" w14:paraId="774D915C" w14:textId="77777777" w:rsidTr="00295CCD">
        <w:tc>
          <w:tcPr>
            <w:tcW w:w="1409" w:type="dxa"/>
          </w:tcPr>
          <w:p w14:paraId="6B34510F" w14:textId="7037F71A" w:rsidR="008236E9" w:rsidRPr="00295CCD" w:rsidRDefault="008236E9" w:rsidP="00295CCD">
            <w:pPr>
              <w:pStyle w:val="TableText"/>
            </w:pPr>
            <w:r w:rsidRPr="00295CCD">
              <w:t>Land</w:t>
            </w:r>
          </w:p>
        </w:tc>
        <w:tc>
          <w:tcPr>
            <w:tcW w:w="6663" w:type="dxa"/>
          </w:tcPr>
          <w:p w14:paraId="5116A575" w14:textId="7C7D5A6E" w:rsidR="008236E9" w:rsidRPr="00295CCD" w:rsidRDefault="008236E9" w:rsidP="00295CCD">
            <w:pPr>
              <w:pStyle w:val="TableText"/>
            </w:pPr>
            <w:r w:rsidRPr="00295CCD">
              <w:t>Variation in number of parcels intersected between options, residential tenure (current or zoned), industrial tenure, resource tenure (production), resource tenure (exploration), forestry tenure, conservation tenure, future land use conflicts</w:t>
            </w:r>
          </w:p>
        </w:tc>
        <w:tc>
          <w:tcPr>
            <w:tcW w:w="988" w:type="dxa"/>
          </w:tcPr>
          <w:p w14:paraId="6CD660D4" w14:textId="552B10FF" w:rsidR="008236E9" w:rsidRPr="00295CCD" w:rsidRDefault="008236E9" w:rsidP="00295CCD">
            <w:pPr>
              <w:pStyle w:val="TableText"/>
              <w:jc w:val="center"/>
            </w:pPr>
            <w:r w:rsidRPr="00295CCD">
              <w:t>20%</w:t>
            </w:r>
          </w:p>
        </w:tc>
      </w:tr>
      <w:tr w:rsidR="00295CCD" w:rsidRPr="00295CCD" w14:paraId="0BF4A273" w14:textId="77777777" w:rsidTr="00295CCD">
        <w:tc>
          <w:tcPr>
            <w:tcW w:w="1409" w:type="dxa"/>
          </w:tcPr>
          <w:p w14:paraId="2A7C35C6" w14:textId="57D6ACAA" w:rsidR="008236E9" w:rsidRPr="00295CCD" w:rsidRDefault="008236E9" w:rsidP="00295CCD">
            <w:pPr>
              <w:pStyle w:val="TableText"/>
            </w:pPr>
            <w:r w:rsidRPr="00295CCD">
              <w:t>Capital cost</w:t>
            </w:r>
          </w:p>
        </w:tc>
        <w:tc>
          <w:tcPr>
            <w:tcW w:w="6663" w:type="dxa"/>
          </w:tcPr>
          <w:p w14:paraId="7A27BA8D" w14:textId="61AACD33" w:rsidR="008236E9" w:rsidRPr="00295CCD" w:rsidRDefault="008236E9" w:rsidP="00295CCD">
            <w:pPr>
              <w:pStyle w:val="TableText"/>
              <w:ind w:right="-85"/>
            </w:pPr>
            <w:proofErr w:type="gramStart"/>
            <w:r w:rsidRPr="00295CCD">
              <w:t>Approvals</w:t>
            </w:r>
            <w:proofErr w:type="gramEnd"/>
            <w:r w:rsidRPr="00295CCD">
              <w:t xml:space="preserve"> cost, offset cost, labour costs, land procurement costs and capital costs</w:t>
            </w:r>
          </w:p>
        </w:tc>
        <w:tc>
          <w:tcPr>
            <w:tcW w:w="988" w:type="dxa"/>
          </w:tcPr>
          <w:p w14:paraId="612CBA51" w14:textId="708EF664" w:rsidR="008236E9" w:rsidRPr="00295CCD" w:rsidRDefault="008236E9" w:rsidP="00295CCD">
            <w:pPr>
              <w:pStyle w:val="TableText"/>
              <w:jc w:val="center"/>
            </w:pPr>
            <w:r w:rsidRPr="00295CCD">
              <w:t>15%</w:t>
            </w:r>
          </w:p>
        </w:tc>
      </w:tr>
      <w:tr w:rsidR="00295CCD" w:rsidRPr="00295CCD" w14:paraId="2EF808AA" w14:textId="77777777" w:rsidTr="00295CCD">
        <w:tc>
          <w:tcPr>
            <w:tcW w:w="1409" w:type="dxa"/>
          </w:tcPr>
          <w:p w14:paraId="2AE8EACE" w14:textId="378F4481" w:rsidR="008236E9" w:rsidRPr="00295CCD" w:rsidRDefault="008236E9" w:rsidP="00295CCD">
            <w:pPr>
              <w:pStyle w:val="TableText"/>
            </w:pPr>
            <w:r w:rsidRPr="00295CCD">
              <w:t>Relative length</w:t>
            </w:r>
          </w:p>
        </w:tc>
        <w:tc>
          <w:tcPr>
            <w:tcW w:w="6663" w:type="dxa"/>
          </w:tcPr>
          <w:p w14:paraId="4484A159" w14:textId="0E43CB2E" w:rsidR="008236E9" w:rsidRPr="00295CCD" w:rsidRDefault="008236E9" w:rsidP="00295CCD">
            <w:pPr>
              <w:pStyle w:val="TableText"/>
            </w:pPr>
            <w:r w:rsidRPr="00295CCD">
              <w:t>Relative length of each pipeline option</w:t>
            </w:r>
          </w:p>
        </w:tc>
        <w:tc>
          <w:tcPr>
            <w:tcW w:w="988" w:type="dxa"/>
          </w:tcPr>
          <w:p w14:paraId="2F2EBC3C" w14:textId="59D64DAB" w:rsidR="008236E9" w:rsidRPr="00295CCD" w:rsidRDefault="008236E9" w:rsidP="00295CCD">
            <w:pPr>
              <w:pStyle w:val="TableText"/>
              <w:jc w:val="center"/>
            </w:pPr>
            <w:r w:rsidRPr="00295CCD">
              <w:t>5%</w:t>
            </w:r>
          </w:p>
        </w:tc>
      </w:tr>
      <w:tr w:rsidR="00295CCD" w:rsidRPr="00295CCD" w14:paraId="103AB585" w14:textId="77777777" w:rsidTr="00295CCD">
        <w:tc>
          <w:tcPr>
            <w:tcW w:w="1409" w:type="dxa"/>
          </w:tcPr>
          <w:p w14:paraId="31E81483" w14:textId="0D6E8E8A" w:rsidR="008236E9" w:rsidRPr="00295CCD" w:rsidRDefault="008236E9" w:rsidP="00295CCD">
            <w:pPr>
              <w:pStyle w:val="TableText"/>
            </w:pPr>
            <w:r w:rsidRPr="00295CCD">
              <w:t>Constructability</w:t>
            </w:r>
          </w:p>
        </w:tc>
        <w:tc>
          <w:tcPr>
            <w:tcW w:w="6663" w:type="dxa"/>
          </w:tcPr>
          <w:p w14:paraId="2F67B397" w14:textId="655EE972" w:rsidR="008236E9" w:rsidRPr="00295CCD" w:rsidRDefault="008236E9" w:rsidP="00295CCD">
            <w:pPr>
              <w:pStyle w:val="TableText"/>
            </w:pPr>
            <w:r w:rsidRPr="00295CCD">
              <w:t>Design and engineering complexity, terrain and geology risks, complex crossings, space for efficient construction, logistics and access for construction, worker safety</w:t>
            </w:r>
          </w:p>
        </w:tc>
        <w:tc>
          <w:tcPr>
            <w:tcW w:w="988" w:type="dxa"/>
          </w:tcPr>
          <w:p w14:paraId="38618511" w14:textId="052EA5CA" w:rsidR="008236E9" w:rsidRPr="00295CCD" w:rsidRDefault="008236E9" w:rsidP="00295CCD">
            <w:pPr>
              <w:pStyle w:val="TableText"/>
              <w:jc w:val="center"/>
            </w:pPr>
            <w:r w:rsidRPr="00295CCD">
              <w:t>5%</w:t>
            </w:r>
          </w:p>
        </w:tc>
      </w:tr>
      <w:tr w:rsidR="00295CCD" w:rsidRPr="00295CCD" w14:paraId="0BFB9721" w14:textId="77777777" w:rsidTr="00295CCD">
        <w:tc>
          <w:tcPr>
            <w:tcW w:w="1409" w:type="dxa"/>
          </w:tcPr>
          <w:p w14:paraId="418F0249" w14:textId="699AF505" w:rsidR="008236E9" w:rsidRPr="00295CCD" w:rsidRDefault="008236E9" w:rsidP="00295CCD">
            <w:pPr>
              <w:pStyle w:val="TableText"/>
            </w:pPr>
            <w:r w:rsidRPr="00295CCD">
              <w:t>Operability</w:t>
            </w:r>
          </w:p>
        </w:tc>
        <w:tc>
          <w:tcPr>
            <w:tcW w:w="6663" w:type="dxa"/>
          </w:tcPr>
          <w:p w14:paraId="265789D5" w14:textId="78B6BB52" w:rsidR="008236E9" w:rsidRPr="00295CCD" w:rsidRDefault="008236E9" w:rsidP="00295CCD">
            <w:pPr>
              <w:pStyle w:val="TableText"/>
            </w:pPr>
            <w:r w:rsidRPr="00295CCD">
              <w:t xml:space="preserve">Operational complexity, pipeline third party damage risk, worker safety, soil types, </w:t>
            </w:r>
            <w:proofErr w:type="gramStart"/>
            <w:r w:rsidRPr="00295CCD">
              <w:t>rehabilitation</w:t>
            </w:r>
            <w:proofErr w:type="gramEnd"/>
            <w:r w:rsidRPr="00295CCD">
              <w:t xml:space="preserve"> and easement maintenance risks</w:t>
            </w:r>
          </w:p>
        </w:tc>
        <w:tc>
          <w:tcPr>
            <w:tcW w:w="988" w:type="dxa"/>
          </w:tcPr>
          <w:p w14:paraId="074F65A8" w14:textId="153D3852" w:rsidR="008236E9" w:rsidRPr="00295CCD" w:rsidRDefault="008236E9" w:rsidP="00295CCD">
            <w:pPr>
              <w:pStyle w:val="TableText"/>
              <w:jc w:val="center"/>
            </w:pPr>
            <w:r w:rsidRPr="00295CCD">
              <w:t>5%</w:t>
            </w:r>
          </w:p>
        </w:tc>
      </w:tr>
      <w:tr w:rsidR="00295CCD" w:rsidRPr="00295CCD" w14:paraId="2964B5C4" w14:textId="77777777" w:rsidTr="00295CCD">
        <w:tc>
          <w:tcPr>
            <w:tcW w:w="1409" w:type="dxa"/>
          </w:tcPr>
          <w:p w14:paraId="333433E0" w14:textId="68A65B42" w:rsidR="008236E9" w:rsidRPr="00295CCD" w:rsidRDefault="008236E9" w:rsidP="00295CCD">
            <w:pPr>
              <w:pStyle w:val="TableText"/>
            </w:pPr>
            <w:r w:rsidRPr="00295CCD">
              <w:t>Infrastructure</w:t>
            </w:r>
          </w:p>
        </w:tc>
        <w:tc>
          <w:tcPr>
            <w:tcW w:w="6663" w:type="dxa"/>
          </w:tcPr>
          <w:p w14:paraId="74B6E2B3" w14:textId="5107D907" w:rsidR="008236E9" w:rsidRPr="00295CCD" w:rsidRDefault="008236E9" w:rsidP="00295CCD">
            <w:pPr>
              <w:pStyle w:val="TableText"/>
            </w:pPr>
            <w:r w:rsidRPr="00295CCD">
              <w:t>Number of State and Federal roads, local roads and railways intersected</w:t>
            </w:r>
          </w:p>
        </w:tc>
        <w:tc>
          <w:tcPr>
            <w:tcW w:w="988" w:type="dxa"/>
          </w:tcPr>
          <w:p w14:paraId="2723F46D" w14:textId="351DCA85" w:rsidR="008236E9" w:rsidRPr="00295CCD" w:rsidRDefault="008236E9" w:rsidP="00295CCD">
            <w:pPr>
              <w:pStyle w:val="TableText"/>
              <w:jc w:val="center"/>
            </w:pPr>
            <w:r w:rsidRPr="00295CCD">
              <w:t>5%</w:t>
            </w:r>
          </w:p>
        </w:tc>
      </w:tr>
      <w:tr w:rsidR="00295CCD" w:rsidRPr="00295CCD" w14:paraId="0C3490EA" w14:textId="77777777" w:rsidTr="00295CCD">
        <w:tc>
          <w:tcPr>
            <w:tcW w:w="1409" w:type="dxa"/>
          </w:tcPr>
          <w:p w14:paraId="6822D704" w14:textId="52EF1626" w:rsidR="008236E9" w:rsidRPr="00295CCD" w:rsidRDefault="008236E9" w:rsidP="00295CCD">
            <w:pPr>
              <w:pStyle w:val="TableText"/>
            </w:pPr>
            <w:r w:rsidRPr="00295CCD">
              <w:t>Approvals</w:t>
            </w:r>
          </w:p>
        </w:tc>
        <w:tc>
          <w:tcPr>
            <w:tcW w:w="6663" w:type="dxa"/>
          </w:tcPr>
          <w:p w14:paraId="1B9FA2C0" w14:textId="393194BC" w:rsidR="008236E9" w:rsidRPr="00295CCD" w:rsidRDefault="008236E9" w:rsidP="00295CCD">
            <w:pPr>
              <w:pStyle w:val="TableText"/>
            </w:pPr>
            <w:r w:rsidRPr="00295CCD">
              <w:t>Complexity of approval pathway, length of existing or proposed infrastructure easements followed, schedule impact of approval pathway</w:t>
            </w:r>
          </w:p>
        </w:tc>
        <w:tc>
          <w:tcPr>
            <w:tcW w:w="988" w:type="dxa"/>
          </w:tcPr>
          <w:p w14:paraId="5633619C" w14:textId="3E23BD79" w:rsidR="008236E9" w:rsidRPr="00295CCD" w:rsidRDefault="008236E9" w:rsidP="00295CCD">
            <w:pPr>
              <w:pStyle w:val="TableText"/>
              <w:jc w:val="center"/>
            </w:pPr>
            <w:r w:rsidRPr="00295CCD">
              <w:t>5%</w:t>
            </w:r>
          </w:p>
        </w:tc>
      </w:tr>
      <w:tr w:rsidR="00295CCD" w:rsidRPr="00295CCD" w14:paraId="53F8FFAD" w14:textId="77777777" w:rsidTr="00295CCD">
        <w:trPr>
          <w:cnfStyle w:val="010000000000" w:firstRow="0" w:lastRow="1" w:firstColumn="0" w:lastColumn="0" w:oddVBand="0" w:evenVBand="0" w:oddHBand="0" w:evenHBand="0" w:firstRowFirstColumn="0" w:firstRowLastColumn="0" w:lastRowFirstColumn="0" w:lastRowLastColumn="0"/>
        </w:trPr>
        <w:tc>
          <w:tcPr>
            <w:tcW w:w="8072" w:type="dxa"/>
            <w:gridSpan w:val="2"/>
          </w:tcPr>
          <w:p w14:paraId="44C42146" w14:textId="262B0D24" w:rsidR="008236E9" w:rsidRPr="00295CCD" w:rsidRDefault="008236E9" w:rsidP="00295CCD">
            <w:pPr>
              <w:pStyle w:val="TableText"/>
            </w:pPr>
            <w:r w:rsidRPr="00295CCD">
              <w:t>Total</w:t>
            </w:r>
          </w:p>
        </w:tc>
        <w:tc>
          <w:tcPr>
            <w:tcW w:w="988" w:type="dxa"/>
          </w:tcPr>
          <w:p w14:paraId="333D5BD6" w14:textId="0A754846" w:rsidR="008236E9" w:rsidRPr="00295CCD" w:rsidRDefault="008236E9" w:rsidP="00295CCD">
            <w:pPr>
              <w:pStyle w:val="TableText"/>
              <w:jc w:val="center"/>
            </w:pPr>
            <w:r w:rsidRPr="00295CCD">
              <w:t>100%</w:t>
            </w:r>
          </w:p>
        </w:tc>
      </w:tr>
    </w:tbl>
    <w:p w14:paraId="73116299" w14:textId="0F3743FF" w:rsidR="00D61D7B" w:rsidRPr="00D61D7B" w:rsidRDefault="00D61D7B" w:rsidP="00295CCD">
      <w:pPr>
        <w:pStyle w:val="Heading2"/>
        <w:pageBreakBefore/>
      </w:pPr>
      <w:bookmarkStart w:id="34" w:name="_Toc62758918"/>
      <w:bookmarkStart w:id="35" w:name="_Ref66801650"/>
      <w:bookmarkStart w:id="36" w:name="_Toc71242072"/>
      <w:bookmarkStart w:id="37" w:name="_Toc72198638"/>
      <w:r w:rsidRPr="00EB01DA">
        <w:lastRenderedPageBreak/>
        <w:t>P</w:t>
      </w:r>
      <w:r w:rsidRPr="00D61D7B">
        <w:t>ipeline route options</w:t>
      </w:r>
      <w:bookmarkEnd w:id="34"/>
      <w:bookmarkEnd w:id="35"/>
      <w:bookmarkEnd w:id="36"/>
      <w:bookmarkEnd w:id="37"/>
    </w:p>
    <w:p w14:paraId="7D0069CF" w14:textId="0F25BEA4" w:rsidR="00D61D7B" w:rsidRPr="001200A2" w:rsidRDefault="00D61D7B" w:rsidP="001200A2">
      <w:pPr>
        <w:pStyle w:val="BodyText"/>
      </w:pPr>
      <w:bookmarkStart w:id="38" w:name="_Hlk68454495"/>
      <w:r>
        <w:t>Route options for the Project, in its various forms, ha</w:t>
      </w:r>
      <w:r w:rsidR="00B7027F">
        <w:t>ve</w:t>
      </w:r>
      <w:r>
        <w:t xml:space="preserve"> been under consideration since at least 2007 </w:t>
      </w:r>
      <w:r w:rsidRPr="001200A2">
        <w:t>and have been the subject of discussion with AER/AEMO since 2012</w:t>
      </w:r>
      <w:bookmarkEnd w:id="38"/>
      <w:r w:rsidRPr="001200A2">
        <w:t>.</w:t>
      </w:r>
    </w:p>
    <w:p w14:paraId="0C7780FF" w14:textId="18EEFC63" w:rsidR="00965C5B" w:rsidRDefault="00D61D7B" w:rsidP="001200A2">
      <w:pPr>
        <w:pStyle w:val="BodyText"/>
      </w:pPr>
      <w:r w:rsidRPr="001200A2">
        <w:t xml:space="preserve">As part of the 2017 AER business case submission, APA </w:t>
      </w:r>
      <w:r w:rsidR="00B7027F">
        <w:t xml:space="preserve">originally </w:t>
      </w:r>
      <w:r w:rsidRPr="001200A2">
        <w:t>identified four route options for the</w:t>
      </w:r>
      <w:r w:rsidR="00295CCD">
        <w:t> </w:t>
      </w:r>
      <w:r w:rsidR="0006658D">
        <w:t>Project</w:t>
      </w:r>
      <w:r w:rsidR="007F08E4">
        <w:t>:</w:t>
      </w:r>
    </w:p>
    <w:p w14:paraId="6B79E273" w14:textId="4734B9A5" w:rsidR="00965C5B" w:rsidRDefault="00965C5B" w:rsidP="00965C5B">
      <w:pPr>
        <w:pStyle w:val="BodyBullet1"/>
      </w:pPr>
      <w:r>
        <w:t>F</w:t>
      </w:r>
      <w:r w:rsidRPr="00965C5B">
        <w:t>ollowing the existing Sunbury pipeline easement, the OMR, Gunns Gully Road and the existing VNI easement south to Wollert</w:t>
      </w:r>
      <w:r>
        <w:t xml:space="preserve"> (</w:t>
      </w:r>
      <w:r w:rsidRPr="00965C5B">
        <w:t>47.1</w:t>
      </w:r>
      <w:r>
        <w:t xml:space="preserve"> </w:t>
      </w:r>
      <w:r w:rsidRPr="00965C5B">
        <w:t>km in length</w:t>
      </w:r>
      <w:r>
        <w:t>)</w:t>
      </w:r>
    </w:p>
    <w:p w14:paraId="523FA22F" w14:textId="5971F23C" w:rsidR="00965C5B" w:rsidRDefault="00965C5B" w:rsidP="00965C5B">
      <w:pPr>
        <w:pStyle w:val="BodyBullet1"/>
      </w:pPr>
      <w:r>
        <w:t>F</w:t>
      </w:r>
      <w:r w:rsidRPr="00965C5B">
        <w:t xml:space="preserve">ollowing the Sunbury pipeline easement, </w:t>
      </w:r>
      <w:proofErr w:type="gramStart"/>
      <w:r w:rsidRPr="00965C5B">
        <w:t>OMR</w:t>
      </w:r>
      <w:proofErr w:type="gramEnd"/>
      <w:r w:rsidRPr="00965C5B">
        <w:t xml:space="preserve"> and Wildwood Road</w:t>
      </w:r>
      <w:r>
        <w:t>,</w:t>
      </w:r>
      <w:r w:rsidRPr="00965C5B">
        <w:t xml:space="preserve"> traversing cross country to the north east through rural land</w:t>
      </w:r>
      <w:r>
        <w:t xml:space="preserve">, </w:t>
      </w:r>
      <w:r w:rsidRPr="00965C5B">
        <w:t>cross</w:t>
      </w:r>
      <w:r>
        <w:t>ing</w:t>
      </w:r>
      <w:r w:rsidRPr="00965C5B">
        <w:t xml:space="preserve"> the OMR near Donnybrook Road</w:t>
      </w:r>
      <w:r>
        <w:t>,</w:t>
      </w:r>
      <w:r w:rsidRPr="00965C5B">
        <w:t xml:space="preserve"> crossing the Hume Highway between Donnybrook Road and Gunns Gully Road and then following the VNI south to Wollert</w:t>
      </w:r>
      <w:r>
        <w:t xml:space="preserve"> (</w:t>
      </w:r>
      <w:r w:rsidRPr="00965C5B">
        <w:t>47.3</w:t>
      </w:r>
      <w:r>
        <w:t xml:space="preserve"> </w:t>
      </w:r>
      <w:r w:rsidRPr="00965C5B">
        <w:t>km in length</w:t>
      </w:r>
      <w:r>
        <w:t>)</w:t>
      </w:r>
    </w:p>
    <w:p w14:paraId="1BA2BBE7" w14:textId="62D23EF5" w:rsidR="00965C5B" w:rsidRDefault="00965C5B" w:rsidP="00965C5B">
      <w:pPr>
        <w:pStyle w:val="BodyBullet1"/>
      </w:pPr>
      <w:r>
        <w:t>F</w:t>
      </w:r>
      <w:r w:rsidRPr="00965C5B">
        <w:t>ollowing the same route as Option 1 to Mickleham Road but then following the Ausnet 500</w:t>
      </w:r>
      <w:r>
        <w:t xml:space="preserve"> </w:t>
      </w:r>
      <w:r w:rsidRPr="00965C5B">
        <w:t>kV easement through Mount Ridley to Wollert</w:t>
      </w:r>
      <w:r>
        <w:t xml:space="preserve"> (</w:t>
      </w:r>
      <w:r w:rsidRPr="00965C5B">
        <w:t>39.3</w:t>
      </w:r>
      <w:r>
        <w:t xml:space="preserve"> </w:t>
      </w:r>
      <w:r w:rsidRPr="00965C5B">
        <w:t>km in length</w:t>
      </w:r>
      <w:r>
        <w:t>)</w:t>
      </w:r>
    </w:p>
    <w:p w14:paraId="738FFF7A" w14:textId="2354A995" w:rsidR="00965C5B" w:rsidRDefault="00965C5B" w:rsidP="00B32E83">
      <w:pPr>
        <w:pStyle w:val="BodyBullet1"/>
      </w:pPr>
      <w:r>
        <w:t>F</w:t>
      </w:r>
      <w:r w:rsidRPr="00965C5B">
        <w:t>ollowing the same route as Option 1 to Gunns Gully Road but then continuing to follow the OMR through the intersection with the VNI</w:t>
      </w:r>
      <w:r>
        <w:t xml:space="preserve"> (</w:t>
      </w:r>
      <w:r w:rsidRPr="00965C5B">
        <w:t>50.1</w:t>
      </w:r>
      <w:r>
        <w:t xml:space="preserve"> </w:t>
      </w:r>
      <w:r w:rsidRPr="00965C5B">
        <w:t>km in length</w:t>
      </w:r>
      <w:r>
        <w:t>)</w:t>
      </w:r>
      <w:r w:rsidR="0081742E">
        <w:t>.</w:t>
      </w:r>
    </w:p>
    <w:p w14:paraId="0FB75E31" w14:textId="77777777" w:rsidR="007F08E4" w:rsidRDefault="007F08E4" w:rsidP="001200A2">
      <w:pPr>
        <w:pStyle w:val="BodyText"/>
      </w:pPr>
      <w:r>
        <w:t xml:space="preserve">The fourth option above was the route included in the approved AER business case. </w:t>
      </w:r>
    </w:p>
    <w:p w14:paraId="2EF2D983" w14:textId="164F7BCB" w:rsidR="00CF210C" w:rsidRDefault="00D61D7B" w:rsidP="001200A2">
      <w:pPr>
        <w:pStyle w:val="BodyText"/>
      </w:pPr>
      <w:r w:rsidRPr="001200A2">
        <w:t xml:space="preserve">Given the rate of development occurring in the northern and western growth areas </w:t>
      </w:r>
      <w:r w:rsidR="00391F4C">
        <w:t>(largely associated with the progress of Precinct Structure Plans in the area)</w:t>
      </w:r>
      <w:r w:rsidRPr="001200A2">
        <w:t>, APA undertook a further program of updated site investigations in late 2018 and early 2019 to review and revise the route options for the Project and ensure the most current land-use conditions for the study area were considered. The</w:t>
      </w:r>
      <w:r w:rsidR="00295CCD">
        <w:t> </w:t>
      </w:r>
      <w:r w:rsidRPr="001200A2">
        <w:t xml:space="preserve">outcome of this review was the identification of five route options </w:t>
      </w:r>
      <w:r w:rsidR="00B7027F">
        <w:t xml:space="preserve">in 2019 </w:t>
      </w:r>
      <w:r w:rsidRPr="001200A2">
        <w:t xml:space="preserve">to connect the Wollert </w:t>
      </w:r>
      <w:r w:rsidR="000C0E68">
        <w:t xml:space="preserve">compressor </w:t>
      </w:r>
      <w:r w:rsidRPr="001200A2">
        <w:t xml:space="preserve">and Plumpton </w:t>
      </w:r>
      <w:r w:rsidR="000C0E68">
        <w:t>regulating</w:t>
      </w:r>
      <w:r w:rsidR="000C0E68" w:rsidRPr="001200A2">
        <w:t xml:space="preserve"> </w:t>
      </w:r>
      <w:r w:rsidRPr="001200A2">
        <w:t xml:space="preserve">stations, described as Options A, B, C, D and E. These </w:t>
      </w:r>
      <w:r w:rsidR="00ED22AE">
        <w:t xml:space="preserve">five </w:t>
      </w:r>
      <w:r w:rsidRPr="001200A2">
        <w:t>options were assessed through the MCA aligning with the objectives of the Pipelines Act.</w:t>
      </w:r>
      <w:r w:rsidR="00CF210C">
        <w:t xml:space="preserve"> </w:t>
      </w:r>
    </w:p>
    <w:p w14:paraId="4D72FA5F" w14:textId="51EF007C" w:rsidR="00D61D7B" w:rsidRPr="001200A2" w:rsidRDefault="00CF210C" w:rsidP="001200A2">
      <w:pPr>
        <w:pStyle w:val="BodyText"/>
      </w:pPr>
      <w:bookmarkStart w:id="39" w:name="_Hlk68454596"/>
      <w:r>
        <w:t xml:space="preserve">A copy of the </w:t>
      </w:r>
      <w:r w:rsidRPr="00E96993">
        <w:rPr>
          <w:rStyle w:val="Italics"/>
        </w:rPr>
        <w:t>Route Options Report - Western Outer Ring Main Project (APA, March 2019)</w:t>
      </w:r>
      <w:r>
        <w:t xml:space="preserve"> is </w:t>
      </w:r>
      <w:r w:rsidR="00F127CA">
        <w:t>publicly</w:t>
      </w:r>
      <w:r>
        <w:t xml:space="preserve"> available </w:t>
      </w:r>
      <w:r w:rsidR="00E36095">
        <w:t>on the APA Project website</w:t>
      </w:r>
      <w:r w:rsidR="00E36095">
        <w:rPr>
          <w:rStyle w:val="FootnoteReference"/>
        </w:rPr>
        <w:footnoteReference w:id="4"/>
      </w:r>
      <w:r>
        <w:t xml:space="preserve">. </w:t>
      </w:r>
      <w:bookmarkEnd w:id="39"/>
      <w:r>
        <w:t xml:space="preserve">The scoring matrix results for all five options </w:t>
      </w:r>
      <w:r w:rsidR="00626CC7">
        <w:t xml:space="preserve">provides further details and metrics used in the assessment process </w:t>
      </w:r>
      <w:r w:rsidR="00063A82">
        <w:t>and</w:t>
      </w:r>
      <w:r w:rsidR="00626CC7">
        <w:t xml:space="preserve"> </w:t>
      </w:r>
      <w:r>
        <w:t>is provided at Attachment 3 of the 2019 Route Options Report.</w:t>
      </w:r>
    </w:p>
    <w:p w14:paraId="4EFBE32E" w14:textId="1FDFE6BE" w:rsidR="00D61D7B" w:rsidRPr="001200A2" w:rsidRDefault="00B7027F" w:rsidP="001200A2">
      <w:pPr>
        <w:pStyle w:val="BodyText"/>
      </w:pPr>
      <w:r>
        <w:t>T</w:t>
      </w:r>
      <w:r w:rsidR="00D61D7B" w:rsidRPr="001200A2">
        <w:t>he five route options are shown in</w:t>
      </w:r>
      <w:r w:rsidR="00117101">
        <w:t xml:space="preserve"> </w:t>
      </w:r>
      <w:r w:rsidR="00ED7472">
        <w:rPr>
          <w:highlight w:val="yellow"/>
        </w:rPr>
        <w:fldChar w:fldCharType="begin"/>
      </w:r>
      <w:r w:rsidR="00ED7472">
        <w:rPr>
          <w:highlight w:val="yellow"/>
        </w:rPr>
        <w:instrText xml:space="preserve"> REF _Ref47518193 \h </w:instrText>
      </w:r>
      <w:r w:rsidR="00ED7472">
        <w:rPr>
          <w:highlight w:val="yellow"/>
        </w:rPr>
      </w:r>
      <w:r w:rsidR="00ED7472">
        <w:rPr>
          <w:highlight w:val="yellow"/>
        </w:rPr>
        <w:fldChar w:fldCharType="separate"/>
      </w:r>
      <w:r w:rsidR="00BA1E56">
        <w:t>Figure </w:t>
      </w:r>
      <w:r w:rsidR="00BA1E56">
        <w:rPr>
          <w:noProof/>
        </w:rPr>
        <w:t>3</w:t>
      </w:r>
      <w:r w:rsidR="00BA1E56">
        <w:noBreakHyphen/>
      </w:r>
      <w:r w:rsidR="00BA1E56">
        <w:rPr>
          <w:noProof/>
        </w:rPr>
        <w:t>3</w:t>
      </w:r>
      <w:r w:rsidR="00ED7472">
        <w:rPr>
          <w:highlight w:val="yellow"/>
        </w:rPr>
        <w:fldChar w:fldCharType="end"/>
      </w:r>
      <w:r w:rsidR="00D61D7B" w:rsidRPr="001200A2">
        <w:t>.</w:t>
      </w:r>
    </w:p>
    <w:p w14:paraId="3853E315" w14:textId="44F1DC07" w:rsidR="00D61D7B" w:rsidRPr="001200A2" w:rsidRDefault="00D61D7B" w:rsidP="001200A2">
      <w:pPr>
        <w:pStyle w:val="BodyText"/>
      </w:pPr>
      <w:r w:rsidRPr="001200A2">
        <w:t>All five route options feature the following common characteristics:</w:t>
      </w:r>
    </w:p>
    <w:p w14:paraId="053B775F" w14:textId="74CED350" w:rsidR="00D61D7B" w:rsidRPr="00D61D7B" w:rsidRDefault="00D61D7B" w:rsidP="001200A2">
      <w:pPr>
        <w:pStyle w:val="BodyBullet1"/>
      </w:pPr>
      <w:r>
        <w:t>Share a common al</w:t>
      </w:r>
      <w:r w:rsidRPr="00D61D7B">
        <w:t xml:space="preserve">ignment in the southern part of </w:t>
      </w:r>
      <w:r w:rsidR="0006658D">
        <w:t>the Project</w:t>
      </w:r>
      <w:r w:rsidRPr="00D61D7B">
        <w:t xml:space="preserve"> area, between </w:t>
      </w:r>
      <w:r w:rsidR="00B7027F">
        <w:t xml:space="preserve">the </w:t>
      </w:r>
      <w:r w:rsidRPr="00D61D7B">
        <w:t xml:space="preserve">Plumpton </w:t>
      </w:r>
      <w:r w:rsidR="00B7027F">
        <w:t>Regulating S</w:t>
      </w:r>
      <w:r w:rsidRPr="00D61D7B">
        <w:t xml:space="preserve">tation </w:t>
      </w:r>
      <w:r w:rsidR="005452CC">
        <w:t xml:space="preserve">(KP 0) </w:t>
      </w:r>
      <w:r w:rsidRPr="00D61D7B">
        <w:t>to the Sunbury Road crossing</w:t>
      </w:r>
      <w:r w:rsidR="005452CC">
        <w:t xml:space="preserve"> (KP </w:t>
      </w:r>
      <w:r w:rsidR="00B87CD9">
        <w:t>14.8</w:t>
      </w:r>
      <w:r w:rsidR="005452CC">
        <w:t>)</w:t>
      </w:r>
    </w:p>
    <w:p w14:paraId="296C085E" w14:textId="3392D89B" w:rsidR="001D6DFA" w:rsidRDefault="001D6DFA" w:rsidP="001200A2">
      <w:pPr>
        <w:pStyle w:val="BodyBullet1"/>
      </w:pPr>
      <w:r>
        <w:t xml:space="preserve">All route options </w:t>
      </w:r>
      <w:r w:rsidR="00881E95">
        <w:t>follow</w:t>
      </w:r>
      <w:r>
        <w:t xml:space="preserve"> part of the existing AusNet 500kV high voltage powerline easement </w:t>
      </w:r>
      <w:r w:rsidR="00881E95">
        <w:t xml:space="preserve">alignment </w:t>
      </w:r>
      <w:r>
        <w:t xml:space="preserve">for approximately 2 </w:t>
      </w:r>
      <w:r w:rsidR="0099045C">
        <w:t>kilometres</w:t>
      </w:r>
      <w:r>
        <w:t xml:space="preserve"> south of the Sunbury Road crossing</w:t>
      </w:r>
      <w:r w:rsidR="005452CC">
        <w:t xml:space="preserve"> (KP </w:t>
      </w:r>
      <w:r w:rsidR="00B87CD9">
        <w:t>14.8</w:t>
      </w:r>
      <w:r w:rsidR="005452CC">
        <w:t>)</w:t>
      </w:r>
    </w:p>
    <w:p w14:paraId="3ED01FC8" w14:textId="1645B55E" w:rsidR="00D61D7B" w:rsidRPr="00D61D7B" w:rsidRDefault="00D61D7B" w:rsidP="00961A75">
      <w:pPr>
        <w:pStyle w:val="BodyBullet1"/>
      </w:pPr>
      <w:r>
        <w:t xml:space="preserve">All cross the Sunbury rail line and Calder Freeway </w:t>
      </w:r>
      <w:r w:rsidR="005452CC">
        <w:t xml:space="preserve">(KP </w:t>
      </w:r>
      <w:r w:rsidR="00B87CD9">
        <w:t>8.8</w:t>
      </w:r>
      <w:r w:rsidR="005452CC">
        <w:t xml:space="preserve">) </w:t>
      </w:r>
      <w:r>
        <w:t>before traversing in a north-easterly direction through land in the Green Wedge A Zone.</w:t>
      </w:r>
    </w:p>
    <w:p w14:paraId="7A5F0041" w14:textId="0A6C126B" w:rsidR="004E5256" w:rsidRDefault="00D61D7B" w:rsidP="00D61D7B">
      <w:pPr>
        <w:pStyle w:val="BodyText"/>
      </w:pPr>
      <w:r>
        <w:lastRenderedPageBreak/>
        <w:t xml:space="preserve">The route options vary in length with the </w:t>
      </w:r>
      <w:r w:rsidR="002838CE">
        <w:t xml:space="preserve">preferred </w:t>
      </w:r>
      <w:r>
        <w:t xml:space="preserve">route </w:t>
      </w:r>
      <w:r w:rsidR="002838CE">
        <w:t>(Option C)</w:t>
      </w:r>
      <w:r>
        <w:t xml:space="preserve"> being nearly 12 kilometres longer than the shortest route option considered, due to the environmental, land use, cost and accessibility objectives achieved by this option</w:t>
      </w:r>
      <w:r w:rsidR="00076F49">
        <w:rPr>
          <w:rStyle w:val="FootnoteReference"/>
        </w:rPr>
        <w:footnoteReference w:id="5"/>
      </w:r>
      <w:r>
        <w:t>.</w:t>
      </w:r>
    </w:p>
    <w:p w14:paraId="1A8BD8C7" w14:textId="44C15257" w:rsidR="002A4DD3" w:rsidRPr="002A4DD3" w:rsidRDefault="002A4DD3" w:rsidP="002A4DD3">
      <w:pPr>
        <w:pStyle w:val="BodyText"/>
      </w:pPr>
      <w:r w:rsidRPr="002A4DD3">
        <w:t xml:space="preserve">The key features of each route option are summarised in </w:t>
      </w:r>
      <w:r w:rsidRPr="002A4DD3">
        <w:fldChar w:fldCharType="begin"/>
      </w:r>
      <w:r w:rsidRPr="002A4DD3">
        <w:instrText xml:space="preserve"> REF _Ref46247627 \h  \* MERGEFORMAT </w:instrText>
      </w:r>
      <w:r w:rsidRPr="002A4DD3">
        <w:fldChar w:fldCharType="separate"/>
      </w:r>
      <w:r w:rsidR="00BA1E56">
        <w:t>Table 3</w:t>
      </w:r>
      <w:r w:rsidR="00BA1E56">
        <w:noBreakHyphen/>
        <w:t>3</w:t>
      </w:r>
      <w:r w:rsidRPr="002A4DD3">
        <w:fldChar w:fldCharType="end"/>
      </w:r>
      <w:r w:rsidRPr="002A4DD3">
        <w:t>.</w:t>
      </w:r>
    </w:p>
    <w:p w14:paraId="61806947" w14:textId="312DF134" w:rsidR="001D6DFA" w:rsidRDefault="001D6DFA" w:rsidP="001D6DFA">
      <w:pPr>
        <w:pStyle w:val="Caption"/>
      </w:pPr>
      <w:bookmarkStart w:id="40" w:name="_Ref47518193"/>
      <w:r>
        <w:t>Figure</w:t>
      </w:r>
      <w:r w:rsidR="00563D40">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7253FE">
        <w:noBreakHyphen/>
      </w:r>
      <w:r w:rsidR="00D21058">
        <w:fldChar w:fldCharType="begin"/>
      </w:r>
      <w:r w:rsidR="00D21058">
        <w:instrText xml:space="preserve"> SEQ Figure \* ARABIC \s 1 </w:instrText>
      </w:r>
      <w:r w:rsidR="00D21058">
        <w:fldChar w:fldCharType="separate"/>
      </w:r>
      <w:r w:rsidR="00BA1E56">
        <w:rPr>
          <w:noProof/>
        </w:rPr>
        <w:t>3</w:t>
      </w:r>
      <w:r w:rsidR="00D21058">
        <w:rPr>
          <w:noProof/>
        </w:rPr>
        <w:fldChar w:fldCharType="end"/>
      </w:r>
      <w:bookmarkEnd w:id="40"/>
      <w:r w:rsidR="00563D40">
        <w:tab/>
      </w:r>
      <w:r>
        <w:t>Route Options</w:t>
      </w:r>
      <w:r w:rsidR="00582595">
        <w:t xml:space="preserve"> (APA Options Report, 2019)</w:t>
      </w:r>
    </w:p>
    <w:p w14:paraId="7C264429" w14:textId="1F249F59" w:rsidR="001200A2" w:rsidRDefault="006939C7" w:rsidP="00563D40">
      <w:pPr>
        <w:pStyle w:val="Object"/>
      </w:pPr>
      <w:r w:rsidRPr="006939C7">
        <w:rPr>
          <w:noProof/>
          <w:lang w:eastAsia="en-AU"/>
        </w:rPr>
        <w:drawing>
          <wp:inline distT="0" distB="0" distL="0" distR="0" wp14:anchorId="64003B51" wp14:editId="2B882882">
            <wp:extent cx="5759450" cy="5567680"/>
            <wp:effectExtent l="0" t="0" r="0" b="0"/>
            <wp:docPr id="7" name="Picture 7" descr="This figure shows the route options on a map presented in the APA Options Report, 2019. The options illustrated on the map ar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hows the route options on a map presented in the APA Options Report, 2019. The options illustrated on the map are as described in the text above."/>
                    <pic:cNvPicPr/>
                  </pic:nvPicPr>
                  <pic:blipFill>
                    <a:blip r:embed="rId21"/>
                    <a:stretch>
                      <a:fillRect/>
                    </a:stretch>
                  </pic:blipFill>
                  <pic:spPr>
                    <a:xfrm>
                      <a:off x="0" y="0"/>
                      <a:ext cx="5759450" cy="5567680"/>
                    </a:xfrm>
                    <a:prstGeom prst="rect">
                      <a:avLst/>
                    </a:prstGeom>
                  </pic:spPr>
                </pic:pic>
              </a:graphicData>
            </a:graphic>
          </wp:inline>
        </w:drawing>
      </w:r>
    </w:p>
    <w:p w14:paraId="5B01E169" w14:textId="77777777" w:rsidR="00563D40" w:rsidRPr="00563D40" w:rsidRDefault="00563D40" w:rsidP="00563D40">
      <w:pPr>
        <w:pStyle w:val="Source"/>
      </w:pPr>
    </w:p>
    <w:p w14:paraId="2DA3F7B0" w14:textId="77777777" w:rsidR="001200A2" w:rsidRDefault="001200A2" w:rsidP="00D61D7B">
      <w:pPr>
        <w:pStyle w:val="BodyText"/>
        <w:sectPr w:rsidR="001200A2" w:rsidSect="005805F8">
          <w:footerReference w:type="default" r:id="rId22"/>
          <w:type w:val="oddPage"/>
          <w:pgSz w:w="11906" w:h="16838" w:code="9"/>
          <w:pgMar w:top="1418" w:right="1418" w:bottom="1418" w:left="1418" w:header="567" w:footer="567" w:gutter="0"/>
          <w:pgNumType w:start="1" w:chapStyle="1"/>
          <w:cols w:space="708"/>
          <w:docGrid w:linePitch="360"/>
        </w:sectPr>
      </w:pPr>
    </w:p>
    <w:p w14:paraId="4EE37A03" w14:textId="3308A877" w:rsidR="001200A2" w:rsidRDefault="001200A2" w:rsidP="00295CCD">
      <w:pPr>
        <w:pStyle w:val="Caption"/>
        <w:spacing w:before="0" w:after="120"/>
      </w:pPr>
      <w:bookmarkStart w:id="41" w:name="_Ref46247627"/>
      <w:r>
        <w:lastRenderedPageBreak/>
        <w:t>Table</w:t>
      </w:r>
      <w:r w:rsidR="00563D40">
        <w:t> </w:t>
      </w:r>
      <w:r w:rsidR="00D21058">
        <w:fldChar w:fldCharType="begin"/>
      </w:r>
      <w:r w:rsidR="00D21058">
        <w:instrText xml:space="preserve"> </w:instrText>
      </w:r>
      <w:r w:rsidR="00D21058">
        <w:instrText xml:space="preserve">STYLEREF 1 \s </w:instrText>
      </w:r>
      <w:r w:rsidR="00D21058">
        <w:fldChar w:fldCharType="separate"/>
      </w:r>
      <w:r w:rsidR="00BA1E56">
        <w:rPr>
          <w:noProof/>
        </w:rPr>
        <w:t>3</w:t>
      </w:r>
      <w:r w:rsidR="00D21058">
        <w:rPr>
          <w:noProof/>
        </w:rPr>
        <w:fldChar w:fldCharType="end"/>
      </w:r>
      <w:r w:rsidR="009156F0">
        <w:noBreakHyphen/>
      </w:r>
      <w:r w:rsidR="00D21058">
        <w:fldChar w:fldCharType="begin"/>
      </w:r>
      <w:r w:rsidR="00D21058">
        <w:instrText xml:space="preserve"> SEQ Table \* ARABIC \s 1 </w:instrText>
      </w:r>
      <w:r w:rsidR="00D21058">
        <w:fldChar w:fldCharType="separate"/>
      </w:r>
      <w:r w:rsidR="00BA1E56">
        <w:rPr>
          <w:noProof/>
        </w:rPr>
        <w:t>3</w:t>
      </w:r>
      <w:r w:rsidR="00D21058">
        <w:rPr>
          <w:noProof/>
        </w:rPr>
        <w:fldChar w:fldCharType="end"/>
      </w:r>
      <w:bookmarkEnd w:id="41"/>
      <w:r w:rsidR="00563D40">
        <w:tab/>
      </w:r>
      <w:r w:rsidR="0006658D">
        <w:t>O</w:t>
      </w:r>
      <w:r>
        <w:t>ptions characteristics summary</w:t>
      </w:r>
    </w:p>
    <w:tbl>
      <w:tblPr>
        <w:tblStyle w:val="MainTableStyle"/>
        <w:tblW w:w="0" w:type="auto"/>
        <w:tblLayout w:type="fixed"/>
        <w:tblCellMar>
          <w:left w:w="57" w:type="dxa"/>
          <w:right w:w="57" w:type="dxa"/>
        </w:tblCellMar>
        <w:tblLook w:val="0420" w:firstRow="1" w:lastRow="0" w:firstColumn="0" w:lastColumn="0" w:noHBand="0" w:noVBand="1"/>
      </w:tblPr>
      <w:tblGrid>
        <w:gridCol w:w="1413"/>
        <w:gridCol w:w="2268"/>
        <w:gridCol w:w="3969"/>
        <w:gridCol w:w="2977"/>
        <w:gridCol w:w="3365"/>
      </w:tblGrid>
      <w:tr w:rsidR="00295CCD" w:rsidRPr="00295CCD" w14:paraId="2EC622AD" w14:textId="4DD4CF20" w:rsidTr="00295CCD">
        <w:trPr>
          <w:cnfStyle w:val="100000000000" w:firstRow="1" w:lastRow="0" w:firstColumn="0" w:lastColumn="0" w:oddVBand="0" w:evenVBand="0" w:oddHBand="0" w:evenHBand="0" w:firstRowFirstColumn="0" w:firstRowLastColumn="0" w:lastRowFirstColumn="0" w:lastRowLastColumn="0"/>
        </w:trPr>
        <w:tc>
          <w:tcPr>
            <w:tcW w:w="1413" w:type="dxa"/>
          </w:tcPr>
          <w:p w14:paraId="3371B436" w14:textId="5F7B4CF5" w:rsidR="00064C83" w:rsidRPr="00295CCD" w:rsidRDefault="00064C83" w:rsidP="00295CCD">
            <w:pPr>
              <w:pStyle w:val="TableHeadingWhiteFont"/>
              <w:spacing w:before="40" w:after="40"/>
            </w:pPr>
            <w:r w:rsidRPr="00295CCD">
              <w:t>Option</w:t>
            </w:r>
            <w:r w:rsidR="00563D40" w:rsidRPr="00295CCD">
              <w:t>/</w:t>
            </w:r>
            <w:r w:rsidRPr="00295CCD">
              <w:t xml:space="preserve">Ranking </w:t>
            </w:r>
          </w:p>
        </w:tc>
        <w:tc>
          <w:tcPr>
            <w:tcW w:w="2268" w:type="dxa"/>
          </w:tcPr>
          <w:p w14:paraId="2C1B52C3" w14:textId="33C10995" w:rsidR="00064C83" w:rsidRPr="00295CCD" w:rsidRDefault="00064C83" w:rsidP="00295CCD">
            <w:pPr>
              <w:pStyle w:val="TableHeadingWhiteFont"/>
              <w:spacing w:before="40" w:after="40"/>
            </w:pPr>
            <w:r w:rsidRPr="00295CCD">
              <w:t>Route Length</w:t>
            </w:r>
            <w:r w:rsidR="00563D40" w:rsidRPr="00295CCD">
              <w:t>/</w:t>
            </w:r>
            <w:r w:rsidRPr="00295CCD">
              <w:t>Capital Cost</w:t>
            </w:r>
          </w:p>
        </w:tc>
        <w:tc>
          <w:tcPr>
            <w:tcW w:w="3969" w:type="dxa"/>
          </w:tcPr>
          <w:p w14:paraId="1802BCD7" w14:textId="37471DB5" w:rsidR="00064C83" w:rsidRPr="00295CCD" w:rsidRDefault="00064C83" w:rsidP="00295CCD">
            <w:pPr>
              <w:pStyle w:val="TableHeadingWhiteFont"/>
              <w:spacing w:before="40" w:after="40"/>
            </w:pPr>
            <w:r w:rsidRPr="00295CCD">
              <w:t>Env</w:t>
            </w:r>
            <w:r w:rsidR="00E96993" w:rsidRPr="00295CCD">
              <w:t>ironment</w:t>
            </w:r>
            <w:r w:rsidR="00563D40" w:rsidRPr="00295CCD">
              <w:t>/</w:t>
            </w:r>
            <w:r w:rsidRPr="00295CCD">
              <w:t>Heritage</w:t>
            </w:r>
          </w:p>
        </w:tc>
        <w:tc>
          <w:tcPr>
            <w:tcW w:w="2977" w:type="dxa"/>
          </w:tcPr>
          <w:p w14:paraId="1BFC0A43" w14:textId="00DDB241" w:rsidR="00064C83" w:rsidRPr="00295CCD" w:rsidRDefault="00064C83" w:rsidP="00295CCD">
            <w:pPr>
              <w:pStyle w:val="TableHeadingWhiteFont"/>
              <w:spacing w:before="40" w:after="40"/>
            </w:pPr>
            <w:r w:rsidRPr="00295CCD">
              <w:t>Land</w:t>
            </w:r>
            <w:r w:rsidR="00563D40" w:rsidRPr="00295CCD">
              <w:t>/</w:t>
            </w:r>
            <w:r w:rsidRPr="00295CCD">
              <w:t>Infrastructure</w:t>
            </w:r>
            <w:r w:rsidR="00563D40" w:rsidRPr="00295CCD">
              <w:t>/</w:t>
            </w:r>
            <w:r w:rsidRPr="00295CCD">
              <w:t>Approvals</w:t>
            </w:r>
          </w:p>
        </w:tc>
        <w:tc>
          <w:tcPr>
            <w:tcW w:w="3365" w:type="dxa"/>
          </w:tcPr>
          <w:p w14:paraId="781AEC3E" w14:textId="7E25B3C9" w:rsidR="00064C83" w:rsidRPr="00295CCD" w:rsidRDefault="00064C83" w:rsidP="00295CCD">
            <w:pPr>
              <w:pStyle w:val="TableHeadingWhiteFont"/>
              <w:spacing w:before="40" w:after="40"/>
            </w:pPr>
            <w:r w:rsidRPr="00295CCD">
              <w:t>Constructability</w:t>
            </w:r>
            <w:r w:rsidR="00563D40" w:rsidRPr="00295CCD">
              <w:t>/</w:t>
            </w:r>
            <w:r w:rsidRPr="00295CCD">
              <w:t>Operability</w:t>
            </w:r>
          </w:p>
        </w:tc>
      </w:tr>
      <w:tr w:rsidR="00295CCD" w:rsidRPr="00D02B32" w14:paraId="02CB821E" w14:textId="3BE5FCC3" w:rsidTr="00295CCD">
        <w:trPr>
          <w:cantSplit/>
        </w:trPr>
        <w:tc>
          <w:tcPr>
            <w:tcW w:w="1413" w:type="dxa"/>
          </w:tcPr>
          <w:p w14:paraId="473F23D2" w14:textId="293B025E" w:rsidR="00064C83" w:rsidRPr="00064C83" w:rsidRDefault="00064C83" w:rsidP="00295CCD">
            <w:pPr>
              <w:pStyle w:val="TableText"/>
              <w:spacing w:before="40" w:after="40"/>
            </w:pPr>
            <w:r w:rsidRPr="00F35A0A">
              <w:t>A</w:t>
            </w:r>
            <w:r w:rsidR="00563D40">
              <w:t xml:space="preserve"> </w:t>
            </w:r>
            <w:r w:rsidRPr="00064C83">
              <w:t>/</w:t>
            </w:r>
          </w:p>
          <w:p w14:paraId="022D0797" w14:textId="3FDE6FDA" w:rsidR="00064C83" w:rsidRPr="00064C83" w:rsidRDefault="00064C83" w:rsidP="00295CCD">
            <w:pPr>
              <w:pStyle w:val="TableText"/>
              <w:spacing w:before="40" w:after="40"/>
            </w:pPr>
            <w:r>
              <w:t>Ranked 5</w:t>
            </w:r>
            <w:r w:rsidRPr="00064C83">
              <w:t>th (least preferred)</w:t>
            </w:r>
          </w:p>
        </w:tc>
        <w:tc>
          <w:tcPr>
            <w:tcW w:w="2268" w:type="dxa"/>
          </w:tcPr>
          <w:p w14:paraId="382B8F63" w14:textId="524835F8" w:rsidR="00064C83" w:rsidRPr="00563D40" w:rsidRDefault="00064C83" w:rsidP="00295CCD">
            <w:pPr>
              <w:pStyle w:val="TableBullet1"/>
              <w:spacing w:before="40" w:after="40"/>
            </w:pPr>
            <w:r w:rsidRPr="00563D40">
              <w:t>50.4</w:t>
            </w:r>
            <w:r w:rsidR="00563D40">
              <w:t> </w:t>
            </w:r>
            <w:r w:rsidRPr="00563D40">
              <w:t>km – second longest alignment option</w:t>
            </w:r>
          </w:p>
          <w:p w14:paraId="1488DCF0" w14:textId="6ABFA502" w:rsidR="00064C83" w:rsidRPr="00563D40" w:rsidRDefault="00064C83" w:rsidP="00295CCD">
            <w:pPr>
              <w:pStyle w:val="TableBullet1"/>
              <w:spacing w:before="40" w:after="40"/>
            </w:pPr>
            <w:r w:rsidRPr="00563D40">
              <w:t>High</w:t>
            </w:r>
            <w:r w:rsidR="00DA052A" w:rsidRPr="00563D40">
              <w:t>est</w:t>
            </w:r>
            <w:r w:rsidRPr="00563D40">
              <w:t xml:space="preserve"> capital cost </w:t>
            </w:r>
            <w:r w:rsidR="00DA052A" w:rsidRPr="00563D40">
              <w:t>largely due to alignment length and constructability constraints</w:t>
            </w:r>
          </w:p>
        </w:tc>
        <w:tc>
          <w:tcPr>
            <w:tcW w:w="3969" w:type="dxa"/>
          </w:tcPr>
          <w:p w14:paraId="7FCA84F6" w14:textId="7DB5C298" w:rsidR="00A83861" w:rsidRPr="00563D40" w:rsidRDefault="00064C83" w:rsidP="00295CCD">
            <w:pPr>
              <w:pStyle w:val="TableBullet1"/>
              <w:spacing w:before="40" w:after="40"/>
            </w:pPr>
            <w:r w:rsidRPr="00563D40">
              <w:t>Environmental impact would be higher than preferred option C</w:t>
            </w:r>
            <w:r w:rsidR="00A83861" w:rsidRPr="00563D40">
              <w:t>, given it traverses a greater number of wetlands</w:t>
            </w:r>
            <w:r w:rsidR="00D557E9" w:rsidRPr="00563D40">
              <w:t xml:space="preserve"> (3)</w:t>
            </w:r>
            <w:r w:rsidR="00A83861" w:rsidRPr="00563D40">
              <w:t xml:space="preserve">, </w:t>
            </w:r>
            <w:r w:rsidR="00EC11DA" w:rsidRPr="00563D40">
              <w:t xml:space="preserve">Melbourne Strategic Assessment (MSA) </w:t>
            </w:r>
            <w:r w:rsidR="00A83861" w:rsidRPr="00563D40">
              <w:t xml:space="preserve">conservation areas </w:t>
            </w:r>
            <w:r w:rsidR="00B47548" w:rsidRPr="00563D40">
              <w:t>(approx. 1.7</w:t>
            </w:r>
            <w:r w:rsidR="00563D40">
              <w:t> </w:t>
            </w:r>
            <w:r w:rsidR="00B47548" w:rsidRPr="00563D40">
              <w:t xml:space="preserve">km) </w:t>
            </w:r>
            <w:r w:rsidR="00A83861" w:rsidRPr="00563D40">
              <w:t xml:space="preserve">and </w:t>
            </w:r>
            <w:r w:rsidR="00B47548" w:rsidRPr="00563D40">
              <w:t>mapped areas of remnant vegetation, threatened ecological communities and habitat for threatened species (7.3</w:t>
            </w:r>
            <w:r w:rsidR="00563D40">
              <w:t> </w:t>
            </w:r>
            <w:r w:rsidR="00B47548" w:rsidRPr="00563D40">
              <w:t>km)</w:t>
            </w:r>
          </w:p>
          <w:p w14:paraId="480323E8" w14:textId="2C4AA793" w:rsidR="00064C83" w:rsidRPr="00563D40" w:rsidRDefault="00A83861" w:rsidP="00295CCD">
            <w:pPr>
              <w:pStyle w:val="TableBullet1"/>
              <w:spacing w:before="40" w:after="40"/>
            </w:pPr>
            <w:r w:rsidRPr="00563D40">
              <w:t xml:space="preserve">Second highest risk to areas of </w:t>
            </w:r>
            <w:r w:rsidR="00064C83" w:rsidRPr="00563D40">
              <w:t xml:space="preserve">Aboriginal cultural heritage sensitivity </w:t>
            </w:r>
            <w:r w:rsidRPr="00563D40">
              <w:t>(CHS) traversing approximately 5.1 kilometres of CHS</w:t>
            </w:r>
          </w:p>
        </w:tc>
        <w:tc>
          <w:tcPr>
            <w:tcW w:w="2977" w:type="dxa"/>
          </w:tcPr>
          <w:p w14:paraId="20CABFE7" w14:textId="19B1F367" w:rsidR="00064C83" w:rsidRPr="00563D40" w:rsidRDefault="0006058E" w:rsidP="00295CCD">
            <w:pPr>
              <w:pStyle w:val="TableBullet1"/>
              <w:spacing w:before="40" w:after="40"/>
            </w:pPr>
            <w:r w:rsidRPr="00563D40">
              <w:t>The n</w:t>
            </w:r>
            <w:r w:rsidR="00064C83" w:rsidRPr="00563D40">
              <w:t>orthern section of</w:t>
            </w:r>
            <w:r w:rsidRPr="00563D40">
              <w:t xml:space="preserve"> this</w:t>
            </w:r>
            <w:r w:rsidR="00064C83" w:rsidRPr="00563D40">
              <w:t xml:space="preserve"> route travel</w:t>
            </w:r>
            <w:r w:rsidRPr="00563D40">
              <w:t>s</w:t>
            </w:r>
            <w:r w:rsidR="00064C83" w:rsidRPr="00563D40">
              <w:t xml:space="preserve"> a greater distance north (in rural areas) from established urban growth north of Melbourne</w:t>
            </w:r>
            <w:r w:rsidR="00A83861" w:rsidRPr="00563D40">
              <w:t xml:space="preserve"> (same as Option C)</w:t>
            </w:r>
            <w:r w:rsidRPr="00563D40">
              <w:t xml:space="preserve">. As such the route avoids residential </w:t>
            </w:r>
            <w:r w:rsidR="00A83861" w:rsidRPr="00563D40">
              <w:t>or commercial tenure</w:t>
            </w:r>
          </w:p>
          <w:p w14:paraId="1D30C854" w14:textId="14D47F0E" w:rsidR="00064C83" w:rsidRPr="00563D40" w:rsidRDefault="00064C83" w:rsidP="00295CCD">
            <w:pPr>
              <w:pStyle w:val="TableBullet1"/>
              <w:spacing w:before="40" w:after="40"/>
            </w:pPr>
            <w:r w:rsidRPr="00563D40">
              <w:t xml:space="preserve">Co-locates with </w:t>
            </w:r>
            <w:r w:rsidR="001D6DFA" w:rsidRPr="00563D40">
              <w:t>AusNet</w:t>
            </w:r>
            <w:r w:rsidRPr="00563D40">
              <w:t xml:space="preserve"> 500kV power easement for over 12 kilometres</w:t>
            </w:r>
          </w:p>
          <w:p w14:paraId="58E756E0" w14:textId="0B5C5A07" w:rsidR="00064C83" w:rsidRPr="00563D40" w:rsidRDefault="00064C83" w:rsidP="00295CCD">
            <w:pPr>
              <w:pStyle w:val="TableBullet1"/>
              <w:spacing w:before="40" w:after="40"/>
            </w:pPr>
            <w:r w:rsidRPr="00563D40">
              <w:t xml:space="preserve">Increased approvals </w:t>
            </w:r>
            <w:r w:rsidR="00A83861" w:rsidRPr="00563D40">
              <w:t xml:space="preserve">and land tenure </w:t>
            </w:r>
            <w:r w:rsidRPr="00563D40">
              <w:t xml:space="preserve">complexity expected due greater environmental impacts anticipated and co-location requirements with </w:t>
            </w:r>
            <w:r w:rsidR="001D6DFA" w:rsidRPr="00563D40">
              <w:t>AusNet</w:t>
            </w:r>
            <w:r w:rsidRPr="00563D40">
              <w:t xml:space="preserve"> easement </w:t>
            </w:r>
          </w:p>
        </w:tc>
        <w:tc>
          <w:tcPr>
            <w:tcW w:w="3365" w:type="dxa"/>
          </w:tcPr>
          <w:p w14:paraId="5D7F043D" w14:textId="5FE5705C" w:rsidR="00064C83" w:rsidRPr="00563D40" w:rsidRDefault="00064C83" w:rsidP="00295CCD">
            <w:pPr>
              <w:pStyle w:val="TableBullet1"/>
              <w:spacing w:before="40" w:after="40"/>
            </w:pPr>
            <w:r w:rsidRPr="00563D40">
              <w:t xml:space="preserve">Poor for constructability and operation largely due to the approximately </w:t>
            </w:r>
            <w:proofErr w:type="gramStart"/>
            <w:r w:rsidRPr="00563D40">
              <w:t>12 kilometre</w:t>
            </w:r>
            <w:proofErr w:type="gramEnd"/>
            <w:r w:rsidR="00563D40" w:rsidRPr="00563D40">
              <w:t xml:space="preserve"> </w:t>
            </w:r>
            <w:r w:rsidRPr="00563D40">
              <w:t xml:space="preserve">section of the alignment within </w:t>
            </w:r>
            <w:r w:rsidR="001D6DFA" w:rsidRPr="00563D40">
              <w:t>AusNet</w:t>
            </w:r>
            <w:r w:rsidRPr="00563D40">
              <w:t>’s power easement</w:t>
            </w:r>
          </w:p>
          <w:p w14:paraId="5C22F293" w14:textId="77777777" w:rsidR="00064C83" w:rsidRPr="00563D40" w:rsidRDefault="00064C83" w:rsidP="00295CCD">
            <w:pPr>
              <w:pStyle w:val="TableBullet1"/>
              <w:spacing w:before="40" w:after="40"/>
            </w:pPr>
            <w:proofErr w:type="gramStart"/>
            <w:r w:rsidRPr="00563D40">
              <w:t>Traverses</w:t>
            </w:r>
            <w:proofErr w:type="gramEnd"/>
            <w:r w:rsidRPr="00563D40">
              <w:t xml:space="preserve"> areas within the power easement with sloping terrain and risk of landslip near Deep Creek</w:t>
            </w:r>
          </w:p>
          <w:p w14:paraId="011E9099" w14:textId="6BC487E9" w:rsidR="00EE7699" w:rsidRPr="00563D40" w:rsidRDefault="00EE7699" w:rsidP="00295CCD">
            <w:pPr>
              <w:pStyle w:val="TableBullet1"/>
              <w:spacing w:before="40" w:after="40"/>
            </w:pPr>
            <w:r w:rsidRPr="00563D40">
              <w:t>Option A and B both had over 7 kilometres of alignment traversing land with a slope of greater than 10% presenting greater ground stability and terrain risks. This was much higher than Options C, D and E with between approximately. 1.3 and 2.6 kilometres of slope-impacted alignment respectively,</w:t>
            </w:r>
          </w:p>
        </w:tc>
      </w:tr>
      <w:tr w:rsidR="00295CCD" w:rsidRPr="00D02B32" w14:paraId="181A9C22" w14:textId="77777777" w:rsidTr="00295CCD">
        <w:trPr>
          <w:cantSplit/>
        </w:trPr>
        <w:tc>
          <w:tcPr>
            <w:tcW w:w="1413" w:type="dxa"/>
          </w:tcPr>
          <w:p w14:paraId="419E2669" w14:textId="1137E2B8" w:rsidR="00064C83" w:rsidRPr="00064C83" w:rsidRDefault="00064C83" w:rsidP="00295CCD">
            <w:pPr>
              <w:pStyle w:val="TableText"/>
              <w:spacing w:before="40" w:after="40"/>
            </w:pPr>
            <w:r w:rsidRPr="00F35A0A">
              <w:lastRenderedPageBreak/>
              <w:t>B</w:t>
            </w:r>
            <w:r w:rsidR="00563D40">
              <w:t>/</w:t>
            </w:r>
            <w:r w:rsidRPr="00064C83">
              <w:br/>
              <w:t>Ranked 4th (second least preferred option)</w:t>
            </w:r>
          </w:p>
        </w:tc>
        <w:tc>
          <w:tcPr>
            <w:tcW w:w="2268" w:type="dxa"/>
          </w:tcPr>
          <w:p w14:paraId="4C297E35" w14:textId="7157B244" w:rsidR="00064C83" w:rsidRPr="00563D40" w:rsidRDefault="00064C83" w:rsidP="00295CCD">
            <w:pPr>
              <w:pStyle w:val="TableBullet1"/>
              <w:spacing w:before="40" w:after="40"/>
            </w:pPr>
            <w:r w:rsidRPr="00563D40">
              <w:t>39.6</w:t>
            </w:r>
            <w:r w:rsidR="00563D40">
              <w:t> </w:t>
            </w:r>
            <w:r w:rsidRPr="00563D40">
              <w:t>km – shortest alignment option</w:t>
            </w:r>
          </w:p>
          <w:p w14:paraId="6B34524C" w14:textId="3C867453" w:rsidR="00064C83" w:rsidRPr="00563D40" w:rsidRDefault="001715FA" w:rsidP="00295CCD">
            <w:pPr>
              <w:pStyle w:val="TableBullet1"/>
              <w:spacing w:before="40" w:after="40"/>
            </w:pPr>
            <w:r w:rsidRPr="00563D40">
              <w:t xml:space="preserve">Second lowest </w:t>
            </w:r>
            <w:r w:rsidR="00064C83" w:rsidRPr="00563D40">
              <w:t>capital cost largely due to shorter alignment length</w:t>
            </w:r>
          </w:p>
        </w:tc>
        <w:tc>
          <w:tcPr>
            <w:tcW w:w="3969" w:type="dxa"/>
          </w:tcPr>
          <w:p w14:paraId="761B3141" w14:textId="229D1B4E" w:rsidR="00064C83" w:rsidRPr="00563D40" w:rsidRDefault="00064C83" w:rsidP="00295CCD">
            <w:pPr>
              <w:pStyle w:val="TableBullet1"/>
              <w:spacing w:before="40" w:after="40"/>
            </w:pPr>
            <w:r w:rsidRPr="00563D40">
              <w:t>Greatest environmental impact expected from this alignment</w:t>
            </w:r>
          </w:p>
          <w:p w14:paraId="0C3D76BD" w14:textId="39532E84" w:rsidR="00064C83" w:rsidRPr="00563D40" w:rsidRDefault="00064C83" w:rsidP="00295CCD">
            <w:pPr>
              <w:pStyle w:val="TableBullet1"/>
              <w:spacing w:before="40" w:after="40"/>
            </w:pPr>
            <w:r w:rsidRPr="00563D40">
              <w:t>Alignment</w:t>
            </w:r>
            <w:r w:rsidR="00EC11DA" w:rsidRPr="00563D40">
              <w:t xml:space="preserve"> features the longest intersect with </w:t>
            </w:r>
            <w:r w:rsidRPr="00563D40">
              <w:t>MSA conservation areas</w:t>
            </w:r>
            <w:r w:rsidR="00EC11DA" w:rsidRPr="00563D40">
              <w:t xml:space="preserve"> (approximately 3.5</w:t>
            </w:r>
            <w:r w:rsidR="00563D40">
              <w:t> </w:t>
            </w:r>
            <w:r w:rsidR="00EC11DA" w:rsidRPr="00563D40">
              <w:t>km)</w:t>
            </w:r>
            <w:r w:rsidRPr="00563D40">
              <w:t xml:space="preserve"> and mapped areas of </w:t>
            </w:r>
            <w:r w:rsidR="00EC11DA" w:rsidRPr="00563D40">
              <w:t>remnant vegetation, threatened ecological communities and habitat for threatened species (approximately 9.2</w:t>
            </w:r>
            <w:r w:rsidR="00563D40">
              <w:t> </w:t>
            </w:r>
            <w:r w:rsidR="00EC11DA" w:rsidRPr="00563D40">
              <w:t>km)</w:t>
            </w:r>
          </w:p>
          <w:p w14:paraId="2D00E855" w14:textId="340C6244" w:rsidR="00064C83" w:rsidRPr="00563D40" w:rsidRDefault="00064C83" w:rsidP="00295CCD">
            <w:pPr>
              <w:pStyle w:val="TableBullet1"/>
              <w:spacing w:before="40" w:after="40"/>
            </w:pPr>
            <w:r w:rsidRPr="00563D40">
              <w:t xml:space="preserve">Alignment also traverses land </w:t>
            </w:r>
            <w:r w:rsidR="00EC11DA" w:rsidRPr="00563D40">
              <w:t xml:space="preserve">within the Mount Ridley Nature Conservation Reserve, land </w:t>
            </w:r>
            <w:r w:rsidRPr="00563D40">
              <w:t xml:space="preserve">affected by the Environmental Significance Overlay, and a high number of waterways near Deep Creek and along the </w:t>
            </w:r>
            <w:r w:rsidR="001D6DFA" w:rsidRPr="00563D40">
              <w:t>AusNet</w:t>
            </w:r>
            <w:r w:rsidRPr="00563D40">
              <w:t xml:space="preserve"> 500</w:t>
            </w:r>
            <w:r w:rsidR="00563D40">
              <w:t> </w:t>
            </w:r>
            <w:r w:rsidRPr="00563D40">
              <w:t>kV power easement</w:t>
            </w:r>
          </w:p>
          <w:p w14:paraId="51462ABD" w14:textId="6680D1C8" w:rsidR="00064C83" w:rsidRPr="00563D40" w:rsidRDefault="00064C83" w:rsidP="00295CCD">
            <w:pPr>
              <w:pStyle w:val="TableBullet1"/>
              <w:spacing w:before="40" w:after="40"/>
            </w:pPr>
            <w:proofErr w:type="gramStart"/>
            <w:r w:rsidRPr="00563D40">
              <w:t>Traverses</w:t>
            </w:r>
            <w:proofErr w:type="gramEnd"/>
            <w:r w:rsidRPr="00563D40">
              <w:t xml:space="preserve"> area with sloping terrain and risk of landslip along part of easement near Deep Creek valley</w:t>
            </w:r>
          </w:p>
        </w:tc>
        <w:tc>
          <w:tcPr>
            <w:tcW w:w="2977" w:type="dxa"/>
          </w:tcPr>
          <w:p w14:paraId="5879AD3B" w14:textId="6C6C3738" w:rsidR="00064C83" w:rsidRPr="00563D40" w:rsidRDefault="00064C83" w:rsidP="00295CCD">
            <w:pPr>
              <w:pStyle w:val="TableBullet1"/>
              <w:spacing w:before="40" w:after="40"/>
            </w:pPr>
            <w:r w:rsidRPr="00563D40">
              <w:t xml:space="preserve">This alignment co-locates with the </w:t>
            </w:r>
            <w:r w:rsidR="001D6DFA" w:rsidRPr="00563D40">
              <w:t>AusNet</w:t>
            </w:r>
            <w:r w:rsidRPr="00563D40">
              <w:t xml:space="preserve"> 500</w:t>
            </w:r>
            <w:r w:rsidR="00563D40">
              <w:t> </w:t>
            </w:r>
            <w:r w:rsidRPr="00563D40">
              <w:t>kV easement for most of its length (</w:t>
            </w:r>
            <w:r w:rsidR="00EC11DA" w:rsidRPr="00563D40">
              <w:t xml:space="preserve">approximately </w:t>
            </w:r>
            <w:r w:rsidRPr="00563D40">
              <w:t>22 kilometres)</w:t>
            </w:r>
          </w:p>
          <w:p w14:paraId="4EF793A3" w14:textId="2C335656" w:rsidR="00064C83" w:rsidRPr="00563D40" w:rsidRDefault="00064C83" w:rsidP="00295CCD">
            <w:pPr>
              <w:pStyle w:val="TableBullet1"/>
              <w:spacing w:before="40" w:after="40"/>
            </w:pPr>
            <w:r w:rsidRPr="00563D40">
              <w:t>The alignment require</w:t>
            </w:r>
            <w:r w:rsidR="00563D40">
              <w:t>s</w:t>
            </w:r>
            <w:r w:rsidRPr="00563D40">
              <w:t xml:space="preserve"> </w:t>
            </w:r>
            <w:r w:rsidR="00EC11DA" w:rsidRPr="00563D40">
              <w:t>residential and industrial tenure</w:t>
            </w:r>
            <w:r w:rsidR="00563D40" w:rsidRPr="00563D40">
              <w:t xml:space="preserve"> </w:t>
            </w:r>
            <w:r w:rsidRPr="00563D40">
              <w:t>as the northern section of the alignment cuts through the northern growth corridor at Mickleham where urban development and higher density subdivision is present</w:t>
            </w:r>
          </w:p>
          <w:p w14:paraId="5D72CF3F" w14:textId="1A274B48" w:rsidR="00064C83" w:rsidRPr="00563D40" w:rsidRDefault="00064C83" w:rsidP="00295CCD">
            <w:pPr>
              <w:pStyle w:val="TableBullet1"/>
              <w:spacing w:before="40" w:after="40"/>
            </w:pPr>
            <w:r w:rsidRPr="00563D40">
              <w:t xml:space="preserve">Increased approvals complexity expected due greater environmental impacts anticipated and co-location requirements with </w:t>
            </w:r>
            <w:r w:rsidR="001D6DFA" w:rsidRPr="00563D40">
              <w:t>AusNet</w:t>
            </w:r>
            <w:r w:rsidRPr="00563D40">
              <w:t xml:space="preserve"> easement</w:t>
            </w:r>
            <w:r w:rsidR="00563D40" w:rsidRPr="00563D40">
              <w:t xml:space="preserve"> </w:t>
            </w:r>
          </w:p>
          <w:p w14:paraId="0BE27BB1" w14:textId="4A05C168" w:rsidR="00EC11DA" w:rsidRPr="00563D40" w:rsidRDefault="00EC11DA" w:rsidP="00295CCD">
            <w:pPr>
              <w:pStyle w:val="TableBullet1"/>
              <w:spacing w:before="40" w:after="40"/>
            </w:pPr>
            <w:r w:rsidRPr="00563D40">
              <w:t>This option also requires tenure through the Mount Ridley Nature Conservation Reserve</w:t>
            </w:r>
          </w:p>
        </w:tc>
        <w:tc>
          <w:tcPr>
            <w:tcW w:w="3365" w:type="dxa"/>
          </w:tcPr>
          <w:p w14:paraId="77E1802A" w14:textId="2CF0608E" w:rsidR="00064C83" w:rsidRPr="00563D40" w:rsidRDefault="008368CC" w:rsidP="00295CCD">
            <w:pPr>
              <w:pStyle w:val="TableBullet1"/>
              <w:spacing w:before="40" w:after="40"/>
            </w:pPr>
            <w:r w:rsidRPr="00563D40">
              <w:t>Very p</w:t>
            </w:r>
            <w:r w:rsidR="00064C83" w:rsidRPr="00563D40">
              <w:t xml:space="preserve">oor for constructability and operation largely due to the substantial section of the alignment </w:t>
            </w:r>
            <w:r w:rsidRPr="00563D40">
              <w:t xml:space="preserve">(approximately 22 kilometres) </w:t>
            </w:r>
            <w:r w:rsidR="00064C83" w:rsidRPr="00563D40">
              <w:t xml:space="preserve">within </w:t>
            </w:r>
            <w:r w:rsidR="001D6DFA" w:rsidRPr="00563D40">
              <w:t>AusNet</w:t>
            </w:r>
            <w:r w:rsidR="00064C83" w:rsidRPr="00563D40">
              <w:t>’s power easement</w:t>
            </w:r>
            <w:r w:rsidR="008D4E24">
              <w:t>.</w:t>
            </w:r>
            <w:r w:rsidR="00563D40" w:rsidRPr="00563D40">
              <w:t xml:space="preserve"> </w:t>
            </w:r>
            <w:r w:rsidRPr="00563D40">
              <w:t>This includes 12 kilometres of shared alignment with Option A within this power easement</w:t>
            </w:r>
          </w:p>
          <w:p w14:paraId="20FEC851" w14:textId="4BFEFA0C" w:rsidR="00064C83" w:rsidRPr="00563D40" w:rsidRDefault="008368CC" w:rsidP="00295CCD">
            <w:pPr>
              <w:pStyle w:val="TableBullet1"/>
              <w:spacing w:before="40" w:after="40"/>
            </w:pPr>
            <w:proofErr w:type="gramStart"/>
            <w:r w:rsidRPr="00563D40">
              <w:t>Shares</w:t>
            </w:r>
            <w:proofErr w:type="gramEnd"/>
            <w:r w:rsidRPr="00563D40">
              <w:t xml:space="preserve"> part of its alignment with Option A which t</w:t>
            </w:r>
            <w:r w:rsidR="00064C83" w:rsidRPr="00563D40">
              <w:t>raverses areas within the power easement with sloping terrain and risk of landslip near Deep Creek</w:t>
            </w:r>
          </w:p>
          <w:p w14:paraId="49CE4C5D" w14:textId="03203B74" w:rsidR="0006058E" w:rsidRPr="00563D40" w:rsidRDefault="0006058E" w:rsidP="00295CCD">
            <w:pPr>
              <w:pStyle w:val="TableBullet1"/>
              <w:spacing w:before="40" w:after="40"/>
            </w:pPr>
            <w:proofErr w:type="gramStart"/>
            <w:r w:rsidRPr="00563D40">
              <w:t>Similar to</w:t>
            </w:r>
            <w:proofErr w:type="gramEnd"/>
            <w:r w:rsidRPr="00563D40">
              <w:t xml:space="preserve"> Option A it traverses approximately 7 kilometres of land with a slope greater than 10%</w:t>
            </w:r>
          </w:p>
          <w:p w14:paraId="0AAFDF6A" w14:textId="0FCB8EC1" w:rsidR="00064C83" w:rsidRPr="00563D40" w:rsidRDefault="00064C83" w:rsidP="00295CCD">
            <w:pPr>
              <w:pStyle w:val="TableBullet1"/>
              <w:spacing w:before="40" w:after="40"/>
            </w:pPr>
            <w:r w:rsidRPr="00563D40">
              <w:t>Traverses congested parts of the easement</w:t>
            </w:r>
            <w:r w:rsidR="008368CC" w:rsidRPr="00563D40">
              <w:t xml:space="preserve"> further east (part of alignment not shared with Option A)</w:t>
            </w:r>
            <w:r w:rsidRPr="00563D40">
              <w:t xml:space="preserve"> where greater operational complexity and worker safety risks are expected</w:t>
            </w:r>
          </w:p>
        </w:tc>
      </w:tr>
      <w:tr w:rsidR="00295CCD" w:rsidRPr="00D02B32" w14:paraId="4F2A7EEE" w14:textId="77777777" w:rsidTr="00295CCD">
        <w:trPr>
          <w:cantSplit/>
        </w:trPr>
        <w:tc>
          <w:tcPr>
            <w:tcW w:w="1413" w:type="dxa"/>
          </w:tcPr>
          <w:p w14:paraId="0EFF6E7A" w14:textId="0AB390A7" w:rsidR="00064C83" w:rsidRPr="00064C83" w:rsidRDefault="00064C83" w:rsidP="00295CCD">
            <w:pPr>
              <w:pStyle w:val="TableText"/>
              <w:spacing w:before="40" w:after="40"/>
            </w:pPr>
            <w:r w:rsidRPr="00F35A0A">
              <w:lastRenderedPageBreak/>
              <w:t>C</w:t>
            </w:r>
            <w:r w:rsidR="00563D40">
              <w:t>/</w:t>
            </w:r>
            <w:r w:rsidRPr="00064C83">
              <w:br/>
              <w:t>Ranked 1st</w:t>
            </w:r>
            <w:r w:rsidR="00563D40">
              <w:t xml:space="preserve"> </w:t>
            </w:r>
            <w:r w:rsidRPr="00064C83">
              <w:t>(preferred option)</w:t>
            </w:r>
          </w:p>
        </w:tc>
        <w:tc>
          <w:tcPr>
            <w:tcW w:w="2268" w:type="dxa"/>
          </w:tcPr>
          <w:p w14:paraId="1B326D01" w14:textId="388DB2BD" w:rsidR="00064C83" w:rsidRPr="00563D40" w:rsidRDefault="00064C83" w:rsidP="00295CCD">
            <w:pPr>
              <w:pStyle w:val="TableBullet1"/>
              <w:spacing w:before="40" w:after="40"/>
            </w:pPr>
            <w:r w:rsidRPr="00563D40">
              <w:t>51.5</w:t>
            </w:r>
            <w:r w:rsidR="00563D40">
              <w:t> </w:t>
            </w:r>
            <w:r w:rsidRPr="00563D40">
              <w:t>km – longest route alignment</w:t>
            </w:r>
          </w:p>
          <w:p w14:paraId="783E0A25" w14:textId="722F702A" w:rsidR="00064C83" w:rsidRPr="00563D40" w:rsidRDefault="00DA052A" w:rsidP="00295CCD">
            <w:pPr>
              <w:pStyle w:val="TableBullet1"/>
              <w:spacing w:before="40" w:after="40"/>
            </w:pPr>
            <w:r w:rsidRPr="00563D40">
              <w:t xml:space="preserve">Second highest </w:t>
            </w:r>
            <w:r w:rsidR="00064C83" w:rsidRPr="00563D40">
              <w:t>capital costs largely due to alignment length</w:t>
            </w:r>
          </w:p>
        </w:tc>
        <w:tc>
          <w:tcPr>
            <w:tcW w:w="3969" w:type="dxa"/>
          </w:tcPr>
          <w:p w14:paraId="3F5AD110" w14:textId="77777777" w:rsidR="00064C83" w:rsidRPr="00563D40" w:rsidRDefault="00064C83" w:rsidP="00295CCD">
            <w:pPr>
              <w:pStyle w:val="TableBullet1"/>
              <w:spacing w:before="40" w:after="40"/>
            </w:pPr>
            <w:r w:rsidRPr="00563D40">
              <w:t>Least environmental impact expected compared to other options</w:t>
            </w:r>
          </w:p>
          <w:p w14:paraId="780E6AD5" w14:textId="3A5F0D08" w:rsidR="00EC11DA" w:rsidRPr="00563D40" w:rsidRDefault="00064C83" w:rsidP="00295CCD">
            <w:pPr>
              <w:pStyle w:val="TableBullet1"/>
              <w:spacing w:before="40" w:after="40"/>
            </w:pPr>
            <w:r w:rsidRPr="00563D40">
              <w:t>Alignment achieves the greatest avoidance of MSA conservation areas</w:t>
            </w:r>
            <w:r w:rsidR="00EC11DA" w:rsidRPr="00563D40">
              <w:t xml:space="preserve"> (approx. 1.</w:t>
            </w:r>
            <w:r w:rsidR="00B47548" w:rsidRPr="00563D40">
              <w:t>6</w:t>
            </w:r>
            <w:r w:rsidR="00563D40">
              <w:t> </w:t>
            </w:r>
            <w:r w:rsidR="00EC11DA" w:rsidRPr="00563D40">
              <w:t>km traversing conservation areas</w:t>
            </w:r>
            <w:r w:rsidR="00B47548" w:rsidRPr="00563D40">
              <w:t>)</w:t>
            </w:r>
          </w:p>
          <w:p w14:paraId="4B561DB9" w14:textId="4F8B36A3" w:rsidR="00EC11DA" w:rsidRPr="00563D40" w:rsidRDefault="00EC11DA" w:rsidP="00295CCD">
            <w:pPr>
              <w:pStyle w:val="TableBullet1"/>
              <w:spacing w:before="40" w:after="40"/>
            </w:pPr>
            <w:r w:rsidRPr="00563D40">
              <w:t xml:space="preserve">Alignment </w:t>
            </w:r>
            <w:r w:rsidR="00D557E9" w:rsidRPr="00563D40">
              <w:t xml:space="preserve">has second shortest impact length of </w:t>
            </w:r>
            <w:r w:rsidRPr="00563D40">
              <w:t>mapped areas of remnant vegetation, threatened ecological communities and habitat for threatened species (</w:t>
            </w:r>
            <w:r w:rsidR="00D557E9" w:rsidRPr="00563D40">
              <w:t>approx.</w:t>
            </w:r>
            <w:r w:rsidRPr="00563D40">
              <w:t xml:space="preserve"> </w:t>
            </w:r>
            <w:r w:rsidR="00D557E9" w:rsidRPr="00563D40">
              <w:t>5.7</w:t>
            </w:r>
            <w:r w:rsidR="00563D40">
              <w:t> </w:t>
            </w:r>
            <w:r w:rsidR="00D557E9" w:rsidRPr="00563D40">
              <w:t>km)</w:t>
            </w:r>
          </w:p>
          <w:p w14:paraId="6B1DE5ED" w14:textId="7FDB739A" w:rsidR="00064C83" w:rsidRPr="00563D40" w:rsidRDefault="00064C83" w:rsidP="00295CCD">
            <w:pPr>
              <w:pStyle w:val="TableBullet1"/>
              <w:spacing w:before="40" w:after="40"/>
            </w:pPr>
            <w:r w:rsidRPr="00563D40">
              <w:t xml:space="preserve">Alignment intersects fewer areas of potential Aboriginal cultural heritage sensitivity than </w:t>
            </w:r>
            <w:r w:rsidR="00B47548" w:rsidRPr="00563D40">
              <w:t>Options A, B and E</w:t>
            </w:r>
          </w:p>
          <w:p w14:paraId="7F1826BF" w14:textId="1B93DA64" w:rsidR="00064C83" w:rsidRPr="00563D40" w:rsidRDefault="00064C83" w:rsidP="00295CCD">
            <w:pPr>
              <w:pStyle w:val="TableBullet1"/>
              <w:spacing w:before="40" w:after="40"/>
            </w:pPr>
            <w:r w:rsidRPr="00563D40">
              <w:t xml:space="preserve">Alignment would use an existing crossing at Merri Creek established for </w:t>
            </w:r>
            <w:r w:rsidR="00C30500" w:rsidRPr="00563D40">
              <w:t>the Victorian Northern Interconnect Expansion project</w:t>
            </w:r>
          </w:p>
        </w:tc>
        <w:tc>
          <w:tcPr>
            <w:tcW w:w="2977" w:type="dxa"/>
          </w:tcPr>
          <w:p w14:paraId="3489F75D" w14:textId="139E8BB7" w:rsidR="00064C83" w:rsidRPr="00563D40" w:rsidRDefault="00B47548" w:rsidP="00295CCD">
            <w:pPr>
              <w:pStyle w:val="TableBullet1"/>
              <w:spacing w:before="40" w:after="40"/>
            </w:pPr>
            <w:r w:rsidRPr="00563D40">
              <w:t>N</w:t>
            </w:r>
            <w:r w:rsidR="00064C83" w:rsidRPr="00563D40">
              <w:t>orthern section of route travel</w:t>
            </w:r>
            <w:r w:rsidRPr="00563D40">
              <w:t>s</w:t>
            </w:r>
            <w:r w:rsidR="00064C83" w:rsidRPr="00563D40">
              <w:t xml:space="preserve"> a greater distance north (in rural areas) from established urban growth north of Melbourne</w:t>
            </w:r>
          </w:p>
          <w:p w14:paraId="2BE369CD" w14:textId="77777777" w:rsidR="00064C83" w:rsidRPr="00563D40" w:rsidRDefault="00064C83" w:rsidP="00295CCD">
            <w:pPr>
              <w:pStyle w:val="TableBullet1"/>
              <w:spacing w:before="40" w:after="40"/>
            </w:pPr>
            <w:r w:rsidRPr="00563D40">
              <w:t>Avoids requiring tenure on land holdings with residential, industrial or conservation uses</w:t>
            </w:r>
          </w:p>
          <w:p w14:paraId="5C937096" w14:textId="324003C5" w:rsidR="00064C83" w:rsidRPr="00563D40" w:rsidRDefault="00064C83" w:rsidP="00295CCD">
            <w:pPr>
              <w:pStyle w:val="TableBullet1"/>
              <w:spacing w:before="40" w:after="40"/>
            </w:pPr>
            <w:r w:rsidRPr="00563D40">
              <w:t>Follows a similar alignment to the part of the proposed OMR which traverses the study area</w:t>
            </w:r>
          </w:p>
        </w:tc>
        <w:tc>
          <w:tcPr>
            <w:tcW w:w="3365" w:type="dxa"/>
          </w:tcPr>
          <w:p w14:paraId="50557007" w14:textId="01C11372" w:rsidR="00064C83" w:rsidRPr="00563D40" w:rsidRDefault="00064C83" w:rsidP="00295CCD">
            <w:pPr>
              <w:pStyle w:val="TableBullet1"/>
              <w:spacing w:before="40" w:after="40"/>
            </w:pPr>
            <w:r w:rsidRPr="00563D40">
              <w:t>Achieves the best outcomes in terms of construction and operational complexity – largely due to avoidance of urban encroachment, easement</w:t>
            </w:r>
            <w:r w:rsidR="004A3F40" w:rsidRPr="00563D40">
              <w:t>/access</w:t>
            </w:r>
            <w:r w:rsidRPr="00563D40">
              <w:t xml:space="preserve"> constraints and steep terrain</w:t>
            </w:r>
          </w:p>
          <w:p w14:paraId="1F53066E" w14:textId="1EC6FC94" w:rsidR="00DA06FB" w:rsidRPr="00563D40" w:rsidRDefault="00D06B73" w:rsidP="00295CCD">
            <w:pPr>
              <w:pStyle w:val="TableBullet1"/>
              <w:spacing w:before="40" w:after="40"/>
            </w:pPr>
            <w:r w:rsidRPr="00563D40">
              <w:t>Option C has more (18) complex crossings (along with A and E) than Options B and D (16). These complex crossing require trenchless construction methods contributing to higher capital costs</w:t>
            </w:r>
          </w:p>
        </w:tc>
      </w:tr>
      <w:tr w:rsidR="00295CCD" w:rsidRPr="00D02B32" w14:paraId="6FDD7E63" w14:textId="77777777" w:rsidTr="00295CCD">
        <w:trPr>
          <w:cantSplit/>
        </w:trPr>
        <w:tc>
          <w:tcPr>
            <w:tcW w:w="1413" w:type="dxa"/>
          </w:tcPr>
          <w:p w14:paraId="04E911B5" w14:textId="502A6565" w:rsidR="00064C83" w:rsidRPr="00064C83" w:rsidRDefault="00064C83" w:rsidP="00295CCD">
            <w:pPr>
              <w:pStyle w:val="TableText"/>
              <w:spacing w:before="40" w:after="40"/>
            </w:pPr>
            <w:r w:rsidRPr="00F35A0A">
              <w:t>D</w:t>
            </w:r>
            <w:r w:rsidR="00563D40">
              <w:t>/</w:t>
            </w:r>
            <w:r w:rsidRPr="00064C83">
              <w:br/>
              <w:t xml:space="preserve">Ranked 2nd </w:t>
            </w:r>
            <w:r w:rsidRPr="00064C83">
              <w:br/>
              <w:t>(second preference option)</w:t>
            </w:r>
          </w:p>
        </w:tc>
        <w:tc>
          <w:tcPr>
            <w:tcW w:w="2268" w:type="dxa"/>
          </w:tcPr>
          <w:p w14:paraId="1E82C73A" w14:textId="1FA33DCF" w:rsidR="00064C83" w:rsidRPr="00563D40" w:rsidRDefault="00064C83" w:rsidP="00295CCD">
            <w:pPr>
              <w:pStyle w:val="TableBullet1"/>
              <w:spacing w:before="40" w:after="40"/>
            </w:pPr>
            <w:r w:rsidRPr="00563D40">
              <w:t>40.1</w:t>
            </w:r>
            <w:r w:rsidR="00563D40">
              <w:t> </w:t>
            </w:r>
            <w:r w:rsidRPr="00563D40">
              <w:t>km</w:t>
            </w:r>
            <w:r w:rsidR="00563D40" w:rsidRPr="00563D40">
              <w:t xml:space="preserve"> </w:t>
            </w:r>
            <w:r w:rsidR="003C209D">
              <w:t>–</w:t>
            </w:r>
            <w:r w:rsidRPr="00563D40">
              <w:t xml:space="preserve"> second</w:t>
            </w:r>
            <w:r w:rsidR="00563D40" w:rsidRPr="00563D40">
              <w:t xml:space="preserve"> </w:t>
            </w:r>
            <w:r w:rsidRPr="00563D40">
              <w:t>shortest alignment</w:t>
            </w:r>
          </w:p>
          <w:p w14:paraId="7C59113C" w14:textId="44AC37CF" w:rsidR="00064C83" w:rsidRPr="00563D40" w:rsidRDefault="00064C83" w:rsidP="00295CCD">
            <w:pPr>
              <w:pStyle w:val="TableBullet1"/>
              <w:spacing w:before="40" w:after="40"/>
            </w:pPr>
            <w:r w:rsidRPr="00563D40">
              <w:t>Lo</w:t>
            </w:r>
            <w:r w:rsidR="00705B86" w:rsidRPr="00563D40">
              <w:t>west</w:t>
            </w:r>
            <w:r w:rsidRPr="00563D40">
              <w:t xml:space="preserve"> capital cost largely due to shorter alignment length</w:t>
            </w:r>
          </w:p>
        </w:tc>
        <w:tc>
          <w:tcPr>
            <w:tcW w:w="3969" w:type="dxa"/>
          </w:tcPr>
          <w:p w14:paraId="18E84494" w14:textId="2951B740" w:rsidR="00064C83" w:rsidRPr="00563D40" w:rsidRDefault="00064C83" w:rsidP="00295CCD">
            <w:pPr>
              <w:pStyle w:val="TableBullet1"/>
              <w:spacing w:before="40" w:after="40"/>
            </w:pPr>
            <w:r w:rsidRPr="00563D40">
              <w:t>Greater environmental impact expected than preferred Option C</w:t>
            </w:r>
          </w:p>
          <w:p w14:paraId="219B9C10" w14:textId="6C396246" w:rsidR="00064C83" w:rsidRPr="00563D40" w:rsidRDefault="00B151CE" w:rsidP="00295CCD">
            <w:pPr>
              <w:pStyle w:val="TableBullet1"/>
              <w:spacing w:before="40" w:after="40"/>
            </w:pPr>
            <w:r w:rsidRPr="00563D40">
              <w:t xml:space="preserve">Second longest </w:t>
            </w:r>
            <w:r w:rsidR="00064C83" w:rsidRPr="00563D40">
              <w:t>intersected length of MSA conservation areas</w:t>
            </w:r>
            <w:r w:rsidR="00B47548" w:rsidRPr="00563D40">
              <w:t xml:space="preserve"> (approx. 3.4</w:t>
            </w:r>
            <w:r w:rsidR="00563D40">
              <w:t> </w:t>
            </w:r>
            <w:r w:rsidR="00B47548" w:rsidRPr="00563D40">
              <w:t>km)</w:t>
            </w:r>
            <w:r w:rsidR="00064C83" w:rsidRPr="00563D40">
              <w:t xml:space="preserve"> and impacts required at the Mount Ridley Nature Conservation Reserve</w:t>
            </w:r>
          </w:p>
          <w:p w14:paraId="1B1B0AB8" w14:textId="6482C90D" w:rsidR="00B47548" w:rsidRPr="00563D40" w:rsidRDefault="00064C83" w:rsidP="00295CCD">
            <w:pPr>
              <w:pStyle w:val="TableBullet1"/>
              <w:spacing w:before="40" w:after="40"/>
            </w:pPr>
            <w:r w:rsidRPr="00563D40">
              <w:t xml:space="preserve">Alignment </w:t>
            </w:r>
            <w:r w:rsidR="00B151CE" w:rsidRPr="00563D40">
              <w:t>has second longest impact length through</w:t>
            </w:r>
            <w:r w:rsidRPr="00563D40">
              <w:t xml:space="preserve"> </w:t>
            </w:r>
            <w:r w:rsidR="00B47548" w:rsidRPr="00563D40">
              <w:t>mapped areas of remnant vegetation, threatened ecological communities and habitat for threatened species (approx. 7.7</w:t>
            </w:r>
            <w:r w:rsidR="00563D40">
              <w:t> </w:t>
            </w:r>
            <w:r w:rsidR="00B47548" w:rsidRPr="00563D40">
              <w:t>km)</w:t>
            </w:r>
          </w:p>
          <w:p w14:paraId="69BED16D" w14:textId="62E40548" w:rsidR="00064C83" w:rsidRPr="00563D40" w:rsidRDefault="00B47548" w:rsidP="00295CCD">
            <w:pPr>
              <w:pStyle w:val="TableBullet1"/>
              <w:spacing w:before="40" w:after="40"/>
            </w:pPr>
            <w:r w:rsidRPr="00563D40">
              <w:t>Alignment also travers</w:t>
            </w:r>
            <w:r w:rsidR="00B151CE" w:rsidRPr="00563D40">
              <w:t>es</w:t>
            </w:r>
            <w:r w:rsidRPr="00563D40">
              <w:t xml:space="preserve"> land </w:t>
            </w:r>
            <w:r w:rsidR="00064C83" w:rsidRPr="00563D40">
              <w:t>within the Environmental Significance Overlay, particularly in Mickleham, the southern parts of Donnybrook and north-western parts of Wollert</w:t>
            </w:r>
          </w:p>
          <w:p w14:paraId="7FF72BBF" w14:textId="5875249A" w:rsidR="00064C83" w:rsidRPr="00563D40" w:rsidRDefault="00064C83" w:rsidP="00295CCD">
            <w:pPr>
              <w:pStyle w:val="TableBullet1"/>
              <w:spacing w:before="40" w:after="40"/>
            </w:pPr>
            <w:r w:rsidRPr="00563D40">
              <w:t>Alignment would require new crossing at Merri Creek where records of Growling Grass Frog have been identified</w:t>
            </w:r>
          </w:p>
        </w:tc>
        <w:tc>
          <w:tcPr>
            <w:tcW w:w="2977" w:type="dxa"/>
          </w:tcPr>
          <w:p w14:paraId="1B51A6E5" w14:textId="7EF3D76C" w:rsidR="00064C83" w:rsidRPr="00563D40" w:rsidRDefault="00064C83" w:rsidP="00295CCD">
            <w:pPr>
              <w:pStyle w:val="TableBullet1"/>
              <w:spacing w:before="40" w:after="40"/>
            </w:pPr>
            <w:r w:rsidRPr="00563D40">
              <w:t>The northern section of the alignment (which is shared with Option B) cuts through the northern growth corridor at Mickleham where urban development and higher density subdivision is present</w:t>
            </w:r>
          </w:p>
          <w:p w14:paraId="39708ED4" w14:textId="4C2F32B4" w:rsidR="00B151CE" w:rsidRPr="00563D40" w:rsidRDefault="00B151CE" w:rsidP="00295CCD">
            <w:pPr>
              <w:pStyle w:val="TableBullet1"/>
              <w:spacing w:before="40" w:after="40"/>
            </w:pPr>
            <w:r w:rsidRPr="00563D40">
              <w:t>Residential and industrial tenure required, in addition to tenure through the Mount Ridley Nature Conservation Reserve</w:t>
            </w:r>
          </w:p>
          <w:p w14:paraId="48562F74" w14:textId="397D3627" w:rsidR="00064C83" w:rsidRPr="00563D40" w:rsidRDefault="00064C83" w:rsidP="00295CCD">
            <w:pPr>
              <w:pStyle w:val="TableBullet1"/>
              <w:spacing w:before="40" w:after="40"/>
            </w:pPr>
            <w:r w:rsidRPr="00563D40">
              <w:t xml:space="preserve">Northern section of route co-locates with </w:t>
            </w:r>
            <w:r w:rsidR="001D6DFA" w:rsidRPr="00563D40">
              <w:t>AusNet</w:t>
            </w:r>
            <w:r w:rsidRPr="00563D40">
              <w:t xml:space="preserve"> 500</w:t>
            </w:r>
            <w:r w:rsidR="00563D40">
              <w:t> </w:t>
            </w:r>
            <w:r w:rsidRPr="00563D40">
              <w:t>kV power easement for approximately 9 kilometres</w:t>
            </w:r>
          </w:p>
        </w:tc>
        <w:tc>
          <w:tcPr>
            <w:tcW w:w="3365" w:type="dxa"/>
          </w:tcPr>
          <w:p w14:paraId="0EDD495C" w14:textId="77777777" w:rsidR="00064C83" w:rsidRPr="00563D40" w:rsidRDefault="00064C83" w:rsidP="00295CCD">
            <w:pPr>
              <w:pStyle w:val="TableBullet1"/>
              <w:spacing w:before="40" w:after="40"/>
            </w:pPr>
            <w:r w:rsidRPr="00563D40">
              <w:t>Constructability scores relatively well given the alignment’s length and avoidance of steep terrain associated with creek beds to the west of the study area</w:t>
            </w:r>
          </w:p>
          <w:p w14:paraId="2D6752BA" w14:textId="0F6C86C0" w:rsidR="00064C83" w:rsidRPr="00563D40" w:rsidRDefault="00064C83" w:rsidP="00295CCD">
            <w:pPr>
              <w:pStyle w:val="TableBullet1"/>
              <w:spacing w:before="40" w:after="40"/>
            </w:pPr>
            <w:r w:rsidRPr="00563D40">
              <w:t xml:space="preserve">Operability also scores relatively well however is less preferable than Option C given extra complexities being located within the </w:t>
            </w:r>
            <w:r w:rsidR="001D6DFA" w:rsidRPr="00563D40">
              <w:t>AusNet</w:t>
            </w:r>
            <w:r w:rsidRPr="00563D40">
              <w:t xml:space="preserve"> easement and closer to urban encroachment</w:t>
            </w:r>
          </w:p>
        </w:tc>
      </w:tr>
      <w:tr w:rsidR="00295CCD" w:rsidRPr="00D02B32" w14:paraId="398BA12F" w14:textId="0C9DE333" w:rsidTr="00295CCD">
        <w:trPr>
          <w:cantSplit/>
        </w:trPr>
        <w:tc>
          <w:tcPr>
            <w:tcW w:w="1413" w:type="dxa"/>
          </w:tcPr>
          <w:p w14:paraId="0B9C8667" w14:textId="76BCF4D3" w:rsidR="00064C83" w:rsidRPr="00064C83" w:rsidRDefault="00064C83" w:rsidP="00295CCD">
            <w:pPr>
              <w:pStyle w:val="TableText"/>
              <w:spacing w:before="40" w:after="40"/>
            </w:pPr>
            <w:r w:rsidRPr="00F35A0A">
              <w:lastRenderedPageBreak/>
              <w:t>E</w:t>
            </w:r>
            <w:r w:rsidR="00563D40">
              <w:t>/</w:t>
            </w:r>
          </w:p>
          <w:p w14:paraId="544B7211" w14:textId="0EDCD2FF" w:rsidR="00064C83" w:rsidRPr="00064C83" w:rsidRDefault="00064C83" w:rsidP="00295CCD">
            <w:pPr>
              <w:pStyle w:val="TableText"/>
              <w:spacing w:before="40" w:after="40"/>
            </w:pPr>
            <w:r>
              <w:t>Ranked 3</w:t>
            </w:r>
            <w:r w:rsidRPr="00064C83">
              <w:t xml:space="preserve">rd (third preference option) </w:t>
            </w:r>
          </w:p>
        </w:tc>
        <w:tc>
          <w:tcPr>
            <w:tcW w:w="2268" w:type="dxa"/>
          </w:tcPr>
          <w:p w14:paraId="48972F3E" w14:textId="386DCAAA" w:rsidR="00064C83" w:rsidRPr="00563D40" w:rsidRDefault="00064C83" w:rsidP="00295CCD">
            <w:pPr>
              <w:pStyle w:val="TableBullet1"/>
              <w:spacing w:before="40" w:after="40"/>
            </w:pPr>
            <w:r w:rsidRPr="00563D40">
              <w:t>42.8</w:t>
            </w:r>
            <w:r w:rsidR="00563D40">
              <w:t> </w:t>
            </w:r>
            <w:r w:rsidRPr="00563D40">
              <w:t>km – third shortest option</w:t>
            </w:r>
          </w:p>
          <w:p w14:paraId="6D63E6B8" w14:textId="44F4CC62" w:rsidR="00064C83" w:rsidRPr="00563D40" w:rsidRDefault="001715FA" w:rsidP="00295CCD">
            <w:pPr>
              <w:pStyle w:val="TableBullet1"/>
              <w:spacing w:before="40" w:after="40"/>
            </w:pPr>
            <w:r w:rsidRPr="00563D40">
              <w:t>Middle-range capital cost (third highest and lowest)</w:t>
            </w:r>
          </w:p>
        </w:tc>
        <w:tc>
          <w:tcPr>
            <w:tcW w:w="3969" w:type="dxa"/>
          </w:tcPr>
          <w:p w14:paraId="31462568" w14:textId="46F7A2EB" w:rsidR="00352770" w:rsidRPr="00563D40" w:rsidRDefault="00352770" w:rsidP="00295CCD">
            <w:pPr>
              <w:pStyle w:val="TableBullet1"/>
              <w:spacing w:before="40" w:after="40"/>
            </w:pPr>
            <w:r w:rsidRPr="00563D40">
              <w:t>Due to its location through established urban areas (</w:t>
            </w:r>
            <w:r w:rsidR="00E96993" w:rsidRPr="00563D40">
              <w:t>disturbed</w:t>
            </w:r>
            <w:r w:rsidRPr="00563D40">
              <w:t xml:space="preserve"> land) this alignment has the shortest impact length through mapped areas of remnant vegetation, threatened ecological communities and habitat for threatened species (approx. 5.5</w:t>
            </w:r>
            <w:r w:rsidR="00563D40">
              <w:t> </w:t>
            </w:r>
            <w:r w:rsidRPr="00563D40">
              <w:t>km). Note this impact length is only 200 metres less than Option C however</w:t>
            </w:r>
          </w:p>
          <w:p w14:paraId="5B5E8AFC" w14:textId="2ED5B719" w:rsidR="00064C83" w:rsidRPr="00563D40" w:rsidRDefault="00352770" w:rsidP="00295CCD">
            <w:pPr>
              <w:pStyle w:val="TableBullet1"/>
              <w:spacing w:before="40" w:after="40"/>
            </w:pPr>
            <w:r w:rsidRPr="00563D40">
              <w:t>Overall Option E is expected to have g</w:t>
            </w:r>
            <w:r w:rsidR="00064C83" w:rsidRPr="00563D40">
              <w:t xml:space="preserve">reater environmental impact than preferred Option </w:t>
            </w:r>
            <w:r w:rsidRPr="00563D40">
              <w:t>C as it t</w:t>
            </w:r>
            <w:r w:rsidR="00D7579B" w:rsidRPr="00563D40">
              <w:t xml:space="preserve">raverses approximately 750 metres more through MSA conservation areas </w:t>
            </w:r>
            <w:r w:rsidRPr="00563D40">
              <w:t>than Option C (Option E has approx. 2.3</w:t>
            </w:r>
            <w:r w:rsidR="00563D40">
              <w:t> </w:t>
            </w:r>
            <w:r w:rsidRPr="00563D40">
              <w:t>km impact length through MSA conservation areas compared to approx. 1.6</w:t>
            </w:r>
            <w:r w:rsidR="00563D40">
              <w:t> </w:t>
            </w:r>
            <w:r w:rsidRPr="00563D40">
              <w:t>km for Option C)</w:t>
            </w:r>
          </w:p>
          <w:p w14:paraId="45A6A147" w14:textId="27328EA2" w:rsidR="00064C83" w:rsidRPr="00563D40" w:rsidRDefault="00352770" w:rsidP="00295CCD">
            <w:pPr>
              <w:pStyle w:val="TableBullet1"/>
              <w:spacing w:before="40" w:after="40"/>
            </w:pPr>
            <w:r w:rsidRPr="00563D40">
              <w:t>This option also i</w:t>
            </w:r>
            <w:r w:rsidR="00064C83" w:rsidRPr="00563D40">
              <w:t>ntersects land in Epping North covered by the Vegetation Protection Overlay and identified as having high and medium habitat significance at regional and local level</w:t>
            </w:r>
            <w:r w:rsidRPr="00563D40">
              <w:t xml:space="preserve">; and </w:t>
            </w:r>
            <w:r w:rsidR="00064C83" w:rsidRPr="00563D40">
              <w:t>conservation areas east of Somerton and west of Epping, including part of the Craigieburn Grassland Nature Conservation Reserve</w:t>
            </w:r>
          </w:p>
          <w:p w14:paraId="02A134A6" w14:textId="43D4A67D" w:rsidR="00352770" w:rsidRPr="00563D40" w:rsidRDefault="00352770" w:rsidP="00295CCD">
            <w:pPr>
              <w:pStyle w:val="TableBullet1"/>
              <w:spacing w:before="40" w:after="40"/>
            </w:pPr>
            <w:r w:rsidRPr="00563D40">
              <w:t>Has the longest impact area of all routes on areas of cultural heritage sensitivity (approx. 5.5</w:t>
            </w:r>
            <w:r w:rsidR="00563D40">
              <w:t> </w:t>
            </w:r>
            <w:r w:rsidRPr="00563D40">
              <w:t>km)</w:t>
            </w:r>
          </w:p>
        </w:tc>
        <w:tc>
          <w:tcPr>
            <w:tcW w:w="2977" w:type="dxa"/>
          </w:tcPr>
          <w:p w14:paraId="1BF17ECA" w14:textId="2AF729FD" w:rsidR="00064C83" w:rsidRPr="00563D40" w:rsidRDefault="00064C83" w:rsidP="00295CCD">
            <w:pPr>
              <w:pStyle w:val="TableBullet1"/>
              <w:spacing w:before="40" w:after="40"/>
            </w:pPr>
            <w:r w:rsidRPr="00563D40">
              <w:t>The alignment comprises the southern-most route of all options considered</w:t>
            </w:r>
          </w:p>
          <w:p w14:paraId="1A99C0CD" w14:textId="67129544" w:rsidR="00064C83" w:rsidRPr="00563D40" w:rsidRDefault="00064C83" w:rsidP="00295CCD">
            <w:pPr>
              <w:pStyle w:val="TableBullet1"/>
              <w:spacing w:before="40" w:after="40"/>
            </w:pPr>
            <w:r w:rsidRPr="00563D40">
              <w:t>The alignment crosses the northern growth corridor just south of the Greenvale Reservoir, traversing established urban areas including Greenvale, Roxburgh Park and Somerton</w:t>
            </w:r>
          </w:p>
          <w:p w14:paraId="17863042" w14:textId="3F7A488C" w:rsidR="00064C83" w:rsidRPr="00563D40" w:rsidRDefault="00064C83" w:rsidP="00295CCD">
            <w:pPr>
              <w:pStyle w:val="TableBullet1"/>
              <w:spacing w:before="40" w:after="40"/>
            </w:pPr>
            <w:r w:rsidRPr="00563D40">
              <w:t xml:space="preserve">This alignment would require tenure across a larger number of land holdings </w:t>
            </w:r>
            <w:r w:rsidR="00264C70" w:rsidRPr="00563D40">
              <w:t xml:space="preserve">compared to other options </w:t>
            </w:r>
            <w:r w:rsidRPr="00563D40">
              <w:t xml:space="preserve">given its </w:t>
            </w:r>
            <w:proofErr w:type="gramStart"/>
            <w:r w:rsidRPr="00563D40">
              <w:t>southern-alignment</w:t>
            </w:r>
            <w:proofErr w:type="gramEnd"/>
            <w:r w:rsidRPr="00563D40">
              <w:t xml:space="preserve"> through areas of higher density subdivision</w:t>
            </w:r>
          </w:p>
          <w:p w14:paraId="22F6FD81" w14:textId="2A1F12A2" w:rsidR="00064C83" w:rsidRPr="00563D40" w:rsidRDefault="00064C83" w:rsidP="00295CCD">
            <w:pPr>
              <w:pStyle w:val="TableBullet1"/>
              <w:spacing w:before="40" w:after="40"/>
            </w:pPr>
            <w:r w:rsidRPr="00563D40">
              <w:t xml:space="preserve">This option largely avoids co-location within the </w:t>
            </w:r>
            <w:r w:rsidR="001D6DFA" w:rsidRPr="00563D40">
              <w:t>AusNet</w:t>
            </w:r>
            <w:r w:rsidRPr="00563D40">
              <w:t xml:space="preserve"> easement</w:t>
            </w:r>
          </w:p>
        </w:tc>
        <w:tc>
          <w:tcPr>
            <w:tcW w:w="3365" w:type="dxa"/>
          </w:tcPr>
          <w:p w14:paraId="2ABD3E62" w14:textId="051A9783" w:rsidR="00064C83" w:rsidRPr="00563D40" w:rsidRDefault="00064C83" w:rsidP="00295CCD">
            <w:pPr>
              <w:pStyle w:val="TableBullet1"/>
              <w:spacing w:before="40" w:after="40"/>
            </w:pPr>
            <w:r w:rsidRPr="00563D40">
              <w:t>This option was scored the poorest in terms of constructability and operability</w:t>
            </w:r>
          </w:p>
          <w:p w14:paraId="390EF302" w14:textId="77777777" w:rsidR="00064C83" w:rsidRPr="00563D40" w:rsidRDefault="00064C83" w:rsidP="00295CCD">
            <w:pPr>
              <w:pStyle w:val="TableBullet1"/>
              <w:spacing w:before="40" w:after="40"/>
            </w:pPr>
            <w:r w:rsidRPr="00563D40">
              <w:t>The alignment traverses constrained urban areas adjacent to Somerton Road, the Greenvale Reservoir, drainage easements bordered by residential areas at Craigieburn/Roxborough Park, and a rail siding at the Somerton Intermodal Terminal</w:t>
            </w:r>
          </w:p>
          <w:p w14:paraId="2021D60D" w14:textId="1EA66A45" w:rsidR="00064C83" w:rsidRPr="00563D40" w:rsidRDefault="00064C83" w:rsidP="00295CCD">
            <w:pPr>
              <w:pStyle w:val="TableBullet1"/>
              <w:spacing w:before="40" w:after="40"/>
            </w:pPr>
            <w:r w:rsidRPr="00563D40">
              <w:t>This alignment carries the greatest risk of construction</w:t>
            </w:r>
            <w:r w:rsidR="00264C70" w:rsidRPr="00563D40">
              <w:t xml:space="preserve"> amenity</w:t>
            </w:r>
            <w:r w:rsidRPr="00563D40">
              <w:t xml:space="preserve"> impacts on established residential and commercial uses, and operational risks due to location in congested urban areas</w:t>
            </w:r>
          </w:p>
        </w:tc>
      </w:tr>
    </w:tbl>
    <w:p w14:paraId="2B347370" w14:textId="788179C8" w:rsidR="00D73A50" w:rsidRDefault="00D73A50" w:rsidP="00D61D7B">
      <w:pPr>
        <w:pStyle w:val="BodyText"/>
      </w:pPr>
    </w:p>
    <w:p w14:paraId="283B57AC" w14:textId="77777777" w:rsidR="00D73A50" w:rsidRDefault="00D73A50" w:rsidP="00D61D7B">
      <w:pPr>
        <w:pStyle w:val="BodyText"/>
        <w:sectPr w:rsidR="00D73A50" w:rsidSect="00295CCD">
          <w:pgSz w:w="16838" w:h="11906" w:orient="landscape" w:code="9"/>
          <w:pgMar w:top="1418" w:right="1418" w:bottom="1418" w:left="1418" w:header="567" w:footer="567" w:gutter="0"/>
          <w:pgNumType w:chapStyle="1"/>
          <w:cols w:space="708"/>
          <w:docGrid w:linePitch="360"/>
        </w:sectPr>
      </w:pPr>
    </w:p>
    <w:p w14:paraId="226F0E60" w14:textId="2458CC5D" w:rsidR="00064C83" w:rsidRPr="00064C83" w:rsidRDefault="00064C83" w:rsidP="00BA1E56">
      <w:pPr>
        <w:pStyle w:val="Heading2"/>
        <w:spacing w:before="0" w:after="120"/>
      </w:pPr>
      <w:bookmarkStart w:id="42" w:name="_Toc62758919"/>
      <w:bookmarkStart w:id="43" w:name="_Toc71242073"/>
      <w:bookmarkStart w:id="44" w:name="_Toc72198639"/>
      <w:r w:rsidRPr="005E4FD4">
        <w:lastRenderedPageBreak/>
        <w:t xml:space="preserve">Confirmation </w:t>
      </w:r>
      <w:r w:rsidR="00982C54">
        <w:t xml:space="preserve">and refinement </w:t>
      </w:r>
      <w:r w:rsidRPr="005E4FD4">
        <w:t xml:space="preserve">of pipeline alignment </w:t>
      </w:r>
      <w:r w:rsidR="004A192F">
        <w:t>following options</w:t>
      </w:r>
      <w:r w:rsidR="003C209D">
        <w:t> </w:t>
      </w:r>
      <w:r w:rsidR="004A192F">
        <w:t>assessment</w:t>
      </w:r>
      <w:bookmarkEnd w:id="42"/>
      <w:bookmarkEnd w:id="43"/>
      <w:bookmarkEnd w:id="44"/>
    </w:p>
    <w:p w14:paraId="25660D0C" w14:textId="13116272" w:rsidR="004A192F" w:rsidRPr="00BA1E56" w:rsidRDefault="004A192F" w:rsidP="00BA1E56">
      <w:pPr>
        <w:pStyle w:val="Heading3"/>
        <w:spacing w:before="360"/>
      </w:pPr>
      <w:bookmarkStart w:id="45" w:name="_Toc62758920"/>
      <w:bookmarkStart w:id="46" w:name="_Toc71242074"/>
      <w:bookmarkStart w:id="47" w:name="_Toc72198640"/>
      <w:r w:rsidRPr="00BA1E56">
        <w:t>Confirmation of pipeline alignment</w:t>
      </w:r>
      <w:bookmarkEnd w:id="45"/>
      <w:bookmarkEnd w:id="46"/>
      <w:bookmarkEnd w:id="47"/>
    </w:p>
    <w:p w14:paraId="198735B8" w14:textId="4B8CBEDF" w:rsidR="00064C83" w:rsidRPr="00064C83" w:rsidRDefault="00064C83" w:rsidP="00064C83">
      <w:pPr>
        <w:pStyle w:val="BodyText"/>
      </w:pPr>
      <w:r w:rsidRPr="00064C83">
        <w:t xml:space="preserve">Through the MCA process, Option C was identified as the preferred route option and preliminary pipeline alignment (PPA) that would form the basis of further engagement with directly affected landowners and </w:t>
      </w:r>
      <w:r w:rsidR="00E56412">
        <w:t xml:space="preserve">relevant </w:t>
      </w:r>
      <w:r w:rsidRPr="00064C83">
        <w:t>stakeholders.</w:t>
      </w:r>
    </w:p>
    <w:p w14:paraId="73249A33" w14:textId="200CA0C2" w:rsidR="00064C83" w:rsidRDefault="00064C83" w:rsidP="00064C83">
      <w:pPr>
        <w:pStyle w:val="BodyText"/>
      </w:pPr>
      <w:bookmarkStart w:id="48" w:name="_Hlk68454650"/>
      <w:r w:rsidRPr="00064C83">
        <w:t xml:space="preserve">Despite being the longest route alignment identified (almost 12 kilometres longer than then shortest route proposed) </w:t>
      </w:r>
      <w:r w:rsidR="00A468DE">
        <w:t xml:space="preserve">and the second costliest option, </w:t>
      </w:r>
      <w:r w:rsidRPr="00064C83">
        <w:t xml:space="preserve">Option C was assessed as being the optimum alignment for satisfying key criteria which </w:t>
      </w:r>
      <w:r w:rsidR="0006658D">
        <w:t>the Project</w:t>
      </w:r>
      <w:r w:rsidRPr="00064C83">
        <w:t xml:space="preserve"> weighted with the greatest importance, being environment and heritage, </w:t>
      </w:r>
      <w:proofErr w:type="gramStart"/>
      <w:r w:rsidRPr="00064C83">
        <w:t>community</w:t>
      </w:r>
      <w:proofErr w:type="gramEnd"/>
      <w:r w:rsidRPr="00064C83">
        <w:t xml:space="preserve"> and land considerations. </w:t>
      </w:r>
      <w:r w:rsidR="00A468DE">
        <w:t>O</w:t>
      </w:r>
      <w:r w:rsidRPr="00064C83">
        <w:t>ption</w:t>
      </w:r>
      <w:r w:rsidR="00A468DE">
        <w:t xml:space="preserve"> C</w:t>
      </w:r>
      <w:r w:rsidRPr="00064C83">
        <w:t xml:space="preserve"> also scored well in terms of constructability and operability</w:t>
      </w:r>
      <w:r w:rsidR="00A468DE">
        <w:t xml:space="preserve"> overall.</w:t>
      </w:r>
    </w:p>
    <w:bookmarkEnd w:id="48"/>
    <w:p w14:paraId="4927D2FB" w14:textId="486D05C2" w:rsidR="00AB6E37" w:rsidRPr="00AB6E37" w:rsidRDefault="00AB6E37" w:rsidP="00AB6E37">
      <w:pPr>
        <w:pStyle w:val="BodyText"/>
      </w:pPr>
      <w:r w:rsidRPr="00AB6E37">
        <w:t xml:space="preserve">The second preference (Option D) and third preference (Option E) are </w:t>
      </w:r>
      <w:r>
        <w:t>acknowledged as</w:t>
      </w:r>
      <w:r w:rsidRPr="00AB6E37">
        <w:t xml:space="preserve"> feasible alternatives for </w:t>
      </w:r>
      <w:r w:rsidR="00C15297">
        <w:t>the Project</w:t>
      </w:r>
      <w:r w:rsidRPr="00AB6E37">
        <w:t xml:space="preserve">’s objectives. These alternatives share part of their alignments with preferred Option C, with the differences in alignment shown in </w:t>
      </w:r>
      <w:r w:rsidRPr="00AB6E37">
        <w:fldChar w:fldCharType="begin"/>
      </w:r>
      <w:r w:rsidRPr="00AB6E37">
        <w:instrText xml:space="preserve"> REF _Ref47518193 \h </w:instrText>
      </w:r>
      <w:r w:rsidRPr="00AB6E37">
        <w:fldChar w:fldCharType="separate"/>
      </w:r>
      <w:r w:rsidR="00BA1E56">
        <w:t>Figure </w:t>
      </w:r>
      <w:r w:rsidR="00BA1E56">
        <w:rPr>
          <w:noProof/>
        </w:rPr>
        <w:t>3</w:t>
      </w:r>
      <w:r w:rsidR="00BA1E56">
        <w:noBreakHyphen/>
      </w:r>
      <w:r w:rsidR="00BA1E56">
        <w:rPr>
          <w:noProof/>
        </w:rPr>
        <w:t>3</w:t>
      </w:r>
      <w:r w:rsidRPr="00AB6E37">
        <w:fldChar w:fldCharType="end"/>
      </w:r>
      <w:r w:rsidRPr="00AB6E37">
        <w:t>.</w:t>
      </w:r>
    </w:p>
    <w:p w14:paraId="7C04EFBF" w14:textId="1F0D513F" w:rsidR="00AB6E37" w:rsidRPr="00AB6E37" w:rsidRDefault="00AB6E37" w:rsidP="00AB6E37">
      <w:pPr>
        <w:pStyle w:val="BodyText"/>
      </w:pPr>
      <w:r w:rsidRPr="00AB6E37">
        <w:rPr>
          <w:rStyle w:val="Bold"/>
          <w:b w:val="0"/>
        </w:rPr>
        <w:t>Option D</w:t>
      </w:r>
      <w:r w:rsidRPr="00AB6E37">
        <w:t xml:space="preserve"> provides the next best route alignment should Option C </w:t>
      </w:r>
      <w:proofErr w:type="gramStart"/>
      <w:r w:rsidRPr="00AB6E37">
        <w:t>not proceed</w:t>
      </w:r>
      <w:proofErr w:type="gramEnd"/>
      <w:r w:rsidRPr="00AB6E37">
        <w:t xml:space="preserve">. Both routes share a common alignment for </w:t>
      </w:r>
      <w:proofErr w:type="gramStart"/>
      <w:r w:rsidRPr="00AB6E37">
        <w:t>the majority of</w:t>
      </w:r>
      <w:proofErr w:type="gramEnd"/>
      <w:r w:rsidRPr="00AB6E37">
        <w:t xml:space="preserve"> their lengths</w:t>
      </w:r>
      <w:r>
        <w:t xml:space="preserve">. </w:t>
      </w:r>
      <w:r w:rsidRPr="00AB6E37">
        <w:t>The northern section of Option D’s alignment is approximately 11 kilometres shorter than Option C and would result in lower overall capital cost for the</w:t>
      </w:r>
      <w:r w:rsidR="00B03CB4">
        <w:t xml:space="preserve"> </w:t>
      </w:r>
      <w:r w:rsidRPr="00AB6E37">
        <w:t>Project’s delivery. Despite this, Option D is expected to result in greater environmental impacts for</w:t>
      </w:r>
      <w:r w:rsidR="00B03CB4">
        <w:t xml:space="preserve"> </w:t>
      </w:r>
      <w:r w:rsidRPr="00AB6E37">
        <w:t>Victoria and would require direct access to a much larger number of properties than Option C as it</w:t>
      </w:r>
      <w:r w:rsidR="00B03CB4">
        <w:t> </w:t>
      </w:r>
      <w:r w:rsidRPr="00AB6E37">
        <w:t>cuts across the northern growth corridor further south and much closer to established growth area</w:t>
      </w:r>
      <w:r w:rsidR="00B03CB4">
        <w:t> </w:t>
      </w:r>
      <w:r w:rsidRPr="00AB6E37">
        <w:t>development.</w:t>
      </w:r>
    </w:p>
    <w:p w14:paraId="646E7F53" w14:textId="5023FDF0" w:rsidR="00AB6E37" w:rsidRPr="00AB6E37" w:rsidRDefault="00AB6E37" w:rsidP="00AB6E37">
      <w:pPr>
        <w:pStyle w:val="BodyText"/>
      </w:pPr>
      <w:r>
        <w:t>T</w:t>
      </w:r>
      <w:r w:rsidRPr="00AB6E37">
        <w:t>his alternative would also require tenure through the Mount Ridley Nature Conservation Reserve and a new crossing at Merri Creek with potential impacts on Growling Grass Frog habitat in the area. It</w:t>
      </w:r>
      <w:r w:rsidR="00B03CB4">
        <w:t> </w:t>
      </w:r>
      <w:r w:rsidRPr="00AB6E37">
        <w:t xml:space="preserve">would have significantly more environmental impact on endangered ecological communities and remnant native vegetation which have been identified in Mickleham near the Mount Ridley Nature Conservation Reserve, </w:t>
      </w:r>
      <w:proofErr w:type="gramStart"/>
      <w:r w:rsidRPr="00AB6E37">
        <w:t>and also</w:t>
      </w:r>
      <w:proofErr w:type="gramEnd"/>
      <w:r w:rsidRPr="00AB6E37">
        <w:t xml:space="preserve"> in the eastern parts of Mickleham, southern parts of Donnybrook and north-western parts of Wollert. This includes intersects with MSA conservation areas and land affected by various Environmental Significance Overlays in the City of Hume and City of Whittlesea.</w:t>
      </w:r>
    </w:p>
    <w:p w14:paraId="7E17869D" w14:textId="716806CA" w:rsidR="00AB6E37" w:rsidRPr="00AB6E37" w:rsidRDefault="00AB6E37" w:rsidP="00AB6E37">
      <w:pPr>
        <w:pStyle w:val="BodyText"/>
      </w:pPr>
      <w:r w:rsidRPr="00AB6E37">
        <w:t xml:space="preserve">This alternative would also face </w:t>
      </w:r>
      <w:r w:rsidR="00AD391F">
        <w:t xml:space="preserve">significantly </w:t>
      </w:r>
      <w:r w:rsidRPr="00AB6E37">
        <w:t xml:space="preserve">greater construction and operational issues than the preferred Option C, particularly given its approximate </w:t>
      </w:r>
      <w:proofErr w:type="gramStart"/>
      <w:r w:rsidRPr="00AB6E37">
        <w:t>9 kilometre</w:t>
      </w:r>
      <w:proofErr w:type="gramEnd"/>
      <w:r w:rsidRPr="00AB6E37">
        <w:t xml:space="preserve"> section following the AusNet power easement which would bring increased safety and design constraints to </w:t>
      </w:r>
      <w:r w:rsidR="0006658D">
        <w:t>the Project</w:t>
      </w:r>
      <w:r w:rsidRPr="00AB6E37">
        <w:t xml:space="preserve">. </w:t>
      </w:r>
    </w:p>
    <w:p w14:paraId="3B441CE9" w14:textId="6A167A1F" w:rsidR="00AB6E37" w:rsidRPr="00AB6E37" w:rsidRDefault="00AB6E37" w:rsidP="00AB6E37">
      <w:pPr>
        <w:pStyle w:val="BodyText"/>
      </w:pPr>
      <w:r w:rsidRPr="001943A9">
        <w:rPr>
          <w:rStyle w:val="Bold"/>
          <w:b w:val="0"/>
        </w:rPr>
        <w:t>Option E</w:t>
      </w:r>
      <w:r w:rsidRPr="00AB6E37">
        <w:t xml:space="preserve"> shares about 16.5 kilometres of its alignment with Option C then</w:t>
      </w:r>
      <w:r>
        <w:t xml:space="preserve"> </w:t>
      </w:r>
      <w:r w:rsidRPr="00AB6E37">
        <w:t>tak</w:t>
      </w:r>
      <w:r>
        <w:t>es</w:t>
      </w:r>
      <w:r w:rsidRPr="00AB6E37">
        <w:t xml:space="preserve"> the southern-most alignment of all five route options investigated. It is the only route option that cuts directly through established urban development within the northern growth area corridor (near Somerton). </w:t>
      </w:r>
      <w:r w:rsidR="00C15297">
        <w:t>G</w:t>
      </w:r>
      <w:r w:rsidRPr="00AB6E37">
        <w:t>iven that the northern (Wollert-end) of its alignment largely traverses established urban areas, this route is expected to have lesser impact to remnant native vegetation than most other routes. The route however does traverse some pockets of higher biodiversity value (endangered and vulnerable ecological communities including the Craigieburn Grassland Nature Conservation Reserve and land covered by the Vegetation Protection Overlay in Epping North).</w:t>
      </w:r>
    </w:p>
    <w:p w14:paraId="657E2113" w14:textId="1A08123C" w:rsidR="00B03CB4" w:rsidRPr="00B03CB4" w:rsidRDefault="00C15297" w:rsidP="00B03CB4">
      <w:pPr>
        <w:pStyle w:val="BodyText"/>
      </w:pPr>
      <w:r w:rsidRPr="00B03CB4">
        <w:t>Option E</w:t>
      </w:r>
      <w:r w:rsidR="00AB6E37" w:rsidRPr="00B03CB4">
        <w:t xml:space="preserve"> would require land tenure across a high number of properties including residential and industrial land.</w:t>
      </w:r>
      <w:r w:rsidR="00B03CB4" w:rsidRPr="00B03CB4">
        <w:t xml:space="preserve"> </w:t>
      </w:r>
      <w:r w:rsidR="00AB6E37" w:rsidRPr="00B03CB4">
        <w:t xml:space="preserve">It fares poorly in terms of ongoing operability, with higher risk of third-party damage, operational </w:t>
      </w:r>
      <w:proofErr w:type="gramStart"/>
      <w:r w:rsidR="00AB6E37" w:rsidRPr="00B03CB4">
        <w:t>complication</w:t>
      </w:r>
      <w:proofErr w:type="gramEnd"/>
      <w:r w:rsidR="00AB6E37" w:rsidRPr="00B03CB4">
        <w:t xml:space="preserve"> and related safety risk, due to its location within constrained areas of established urban growth.</w:t>
      </w:r>
    </w:p>
    <w:p w14:paraId="6581C62C" w14:textId="0C47264B" w:rsidR="00AB6E37" w:rsidRPr="00B03CB4" w:rsidRDefault="00AB6E37" w:rsidP="00B03CB4">
      <w:pPr>
        <w:pStyle w:val="BodyText"/>
      </w:pPr>
      <w:proofErr w:type="gramStart"/>
      <w:r w:rsidRPr="00B03CB4">
        <w:lastRenderedPageBreak/>
        <w:t xml:space="preserve">This </w:t>
      </w:r>
      <w:r w:rsidR="00C15297" w:rsidRPr="00B03CB4">
        <w:t>alternative faces</w:t>
      </w:r>
      <w:proofErr w:type="gramEnd"/>
      <w:r w:rsidR="00C15297" w:rsidRPr="00B03CB4">
        <w:t xml:space="preserve"> </w:t>
      </w:r>
      <w:r w:rsidRPr="00B03CB4">
        <w:t xml:space="preserve">greater construction issues than the preferred Option C, given its passage </w:t>
      </w:r>
      <w:r w:rsidR="00C15297" w:rsidRPr="00B03CB4">
        <w:t xml:space="preserve">through </w:t>
      </w:r>
      <w:r w:rsidRPr="00B03CB4">
        <w:t>constrained pockets adjacent to Somerton Road, the Greenvale Reservoir, drainage easements, and bordering residential areas particularly at Craigieburn and Roxborough Park.</w:t>
      </w:r>
    </w:p>
    <w:p w14:paraId="5E3C85DF" w14:textId="0DD2B7B2" w:rsidR="00064C83" w:rsidRPr="00064C83" w:rsidRDefault="00763281" w:rsidP="00064C83">
      <w:pPr>
        <w:pStyle w:val="BodyText"/>
      </w:pPr>
      <w:r>
        <w:t>Option C</w:t>
      </w:r>
      <w:r w:rsidR="00064C83" w:rsidRPr="00064C83">
        <w:t xml:space="preserve"> is considered the preferable route option:</w:t>
      </w:r>
    </w:p>
    <w:p w14:paraId="52E892DA" w14:textId="08B62E50" w:rsidR="00064C83" w:rsidRPr="00064C83" w:rsidRDefault="00064C83" w:rsidP="00064C83">
      <w:pPr>
        <w:pStyle w:val="BodyBullet1"/>
      </w:pPr>
      <w:r>
        <w:t xml:space="preserve">It </w:t>
      </w:r>
      <w:r w:rsidRPr="00064C83">
        <w:t>achieves strong alignment with the objectives of the Pipeline Act</w:t>
      </w:r>
      <w:r w:rsidR="00EC0807">
        <w:t xml:space="preserve"> and EE Act</w:t>
      </w:r>
    </w:p>
    <w:p w14:paraId="3F56A30A" w14:textId="6AE8789A" w:rsidR="00064C83" w:rsidRPr="00064C83" w:rsidRDefault="00064C83" w:rsidP="00064C83">
      <w:pPr>
        <w:pStyle w:val="BodyBullet1"/>
      </w:pPr>
      <w:r>
        <w:t>It avoids environmental impacts</w:t>
      </w:r>
      <w:r w:rsidRPr="00064C83">
        <w:t xml:space="preserve"> to the greatest extent possible, particularly to areas of high biodiversity value including the Mount Ridley Nature Conservation Reserve, adjoining MSA conservation areas and Merri Creek</w:t>
      </w:r>
    </w:p>
    <w:p w14:paraId="79B99B68" w14:textId="1A60B0A4" w:rsidR="00064C83" w:rsidRPr="00064C83" w:rsidRDefault="00064C83" w:rsidP="00064C83">
      <w:pPr>
        <w:pStyle w:val="BodyBullet1"/>
      </w:pPr>
      <w:r>
        <w:t>It avoid</w:t>
      </w:r>
      <w:r w:rsidRPr="00064C83">
        <w:t xml:space="preserve">s requiring land tenure or direct location on properties with established residential, industrial or conservation </w:t>
      </w:r>
      <w:proofErr w:type="gramStart"/>
      <w:r w:rsidRPr="00064C83">
        <w:t>uses</w:t>
      </w:r>
      <w:proofErr w:type="gramEnd"/>
      <w:r w:rsidRPr="00064C83">
        <w:t xml:space="preserve"> and it traverses a lower number of properties than other options</w:t>
      </w:r>
    </w:p>
    <w:p w14:paraId="608BF0BF" w14:textId="67DDED0C" w:rsidR="00064C83" w:rsidRDefault="00064C83" w:rsidP="00064C83">
      <w:pPr>
        <w:pStyle w:val="BodyBullet1"/>
      </w:pPr>
      <w:r>
        <w:t xml:space="preserve">It minimises location within existing high-voltage transmission easements which would add design, </w:t>
      </w:r>
      <w:proofErr w:type="gramStart"/>
      <w:r>
        <w:t>construction</w:t>
      </w:r>
      <w:proofErr w:type="gramEnd"/>
      <w:r>
        <w:t xml:space="preserve"> and operational complexity to </w:t>
      </w:r>
      <w:r w:rsidR="0006658D">
        <w:t>the Project</w:t>
      </w:r>
      <w:r>
        <w:t>.</w:t>
      </w:r>
    </w:p>
    <w:p w14:paraId="5A211A80" w14:textId="4601F0FB" w:rsidR="0042648F" w:rsidRPr="00064C83" w:rsidRDefault="0042648F" w:rsidP="0042648F">
      <w:pPr>
        <w:pStyle w:val="BodyText"/>
      </w:pPr>
      <w:r>
        <w:t xml:space="preserve">Following confirmation of Option C as the preferred route option, APA progressed this option to the regulatory approvals scoping phase including referral under the EE Act and referral under the EPBC Act to confirm the approvals pathways. Through these processes and the subsequent preparation of the EES and technical studies, the alignment was further refined as outlined in Section </w:t>
      </w:r>
      <w:r>
        <w:fldChar w:fldCharType="begin"/>
      </w:r>
      <w:r>
        <w:instrText xml:space="preserve"> REF _Ref62126605 \r \h </w:instrText>
      </w:r>
      <w:r>
        <w:fldChar w:fldCharType="separate"/>
      </w:r>
      <w:r w:rsidR="00BA1E56">
        <w:t>3.9.2</w:t>
      </w:r>
      <w:r>
        <w:fldChar w:fldCharType="end"/>
      </w:r>
      <w:r>
        <w:t xml:space="preserve">. </w:t>
      </w:r>
    </w:p>
    <w:p w14:paraId="0E425CB7" w14:textId="0A7476D1" w:rsidR="004A192F" w:rsidRDefault="006B6E46" w:rsidP="0042648F">
      <w:pPr>
        <w:pStyle w:val="Heading3"/>
      </w:pPr>
      <w:bookmarkStart w:id="49" w:name="_Ref62126605"/>
      <w:r>
        <w:t xml:space="preserve"> </w:t>
      </w:r>
      <w:bookmarkStart w:id="50" w:name="_Toc62758921"/>
      <w:bookmarkStart w:id="51" w:name="_Toc71242075"/>
      <w:bookmarkStart w:id="52" w:name="_Toc72198641"/>
      <w:r w:rsidR="004A192F">
        <w:t>Refinement of pipeline alignment</w:t>
      </w:r>
      <w:bookmarkEnd w:id="49"/>
      <w:bookmarkEnd w:id="50"/>
      <w:bookmarkEnd w:id="51"/>
      <w:bookmarkEnd w:id="52"/>
    </w:p>
    <w:p w14:paraId="65C48969" w14:textId="77777777" w:rsidR="00384A2D" w:rsidRDefault="00064C83" w:rsidP="00064C83">
      <w:pPr>
        <w:pStyle w:val="BodyText"/>
      </w:pPr>
      <w:r w:rsidRPr="00064C83">
        <w:t xml:space="preserve">Through stakeholder consultation and engagement with </w:t>
      </w:r>
      <w:r w:rsidR="001D6DFA">
        <w:t>landowners and VicRoads (now the Department of Transport</w:t>
      </w:r>
      <w:r w:rsidR="00CB2ED2">
        <w:t xml:space="preserve"> (DoT)</w:t>
      </w:r>
      <w:r w:rsidR="001D6DFA">
        <w:t xml:space="preserve">) from early 2019 </w:t>
      </w:r>
      <w:r w:rsidR="00190271">
        <w:t>and through the EES preparation</w:t>
      </w:r>
      <w:r w:rsidR="007B5DF2">
        <w:t xml:space="preserve"> to early 2021</w:t>
      </w:r>
      <w:r w:rsidRPr="00064C83">
        <w:t xml:space="preserve">, further route refinement was undertaken with </w:t>
      </w:r>
      <w:proofErr w:type="gramStart"/>
      <w:r w:rsidRPr="00064C83">
        <w:t>a number of</w:t>
      </w:r>
      <w:proofErr w:type="gramEnd"/>
      <w:r w:rsidRPr="00064C83">
        <w:t xml:space="preserve"> changes being incorporated as a result</w:t>
      </w:r>
      <w:r w:rsidR="00384A2D">
        <w:t xml:space="preserve">: </w:t>
      </w:r>
    </w:p>
    <w:p w14:paraId="002CD7D4" w14:textId="77777777" w:rsidR="00384A2D" w:rsidRPr="00064C83" w:rsidRDefault="00384A2D" w:rsidP="00384A2D">
      <w:pPr>
        <w:pStyle w:val="BodyBullet1"/>
      </w:pPr>
      <w:r>
        <w:t>Minor alignment changes at the crossings of Jacksons Creek, Sunbury Road and Deep Creek to better respond to terrain, more closely follow property boundaries and avoid impacts to urban growth land within the Sunbury South PSP area</w:t>
      </w:r>
    </w:p>
    <w:p w14:paraId="53609AFC" w14:textId="66D5D639" w:rsidR="00384A2D" w:rsidRPr="00064C83" w:rsidRDefault="00384A2D" w:rsidP="00384A2D">
      <w:pPr>
        <w:pStyle w:val="BodyBullet1"/>
      </w:pPr>
      <w:r>
        <w:t>Refinements to the alignment’s position relative to the OMR</w:t>
      </w:r>
      <w:r w:rsidR="00167080">
        <w:t>/E6 transport</w:t>
      </w:r>
      <w:r>
        <w:t xml:space="preserve"> corridor at various locations </w:t>
      </w:r>
      <w:r w:rsidRPr="00064C83">
        <w:t>in relation to the interface between the two projects</w:t>
      </w:r>
      <w:r>
        <w:t xml:space="preserve"> (as discussed below)</w:t>
      </w:r>
    </w:p>
    <w:p w14:paraId="3C268D84" w14:textId="0BDA3E5A" w:rsidR="00384A2D" w:rsidRPr="00064C83" w:rsidRDefault="00384A2D" w:rsidP="00384A2D">
      <w:pPr>
        <w:pStyle w:val="BodyBullet1"/>
      </w:pPr>
      <w:r>
        <w:t>Amendment of the alignment between Gunns Gully Road and the Hume Freeway to reduce the overall alignment length by following Gunns Gully Road rather than the</w:t>
      </w:r>
      <w:r w:rsidR="00563D40">
        <w:t xml:space="preserve"> </w:t>
      </w:r>
      <w:r w:rsidR="00167080">
        <w:t>OMR/E6 transport corridor</w:t>
      </w:r>
      <w:r>
        <w:t xml:space="preserve"> further to the north to optimise the crossing location at the Hume Freeway.</w:t>
      </w:r>
    </w:p>
    <w:p w14:paraId="316CF7A6" w14:textId="2A22DD72" w:rsidR="00427F00" w:rsidRPr="00427F00" w:rsidRDefault="00427F00" w:rsidP="00F4218E">
      <w:pPr>
        <w:pStyle w:val="BodyText"/>
      </w:pPr>
      <w:r w:rsidRPr="00427F00">
        <w:t xml:space="preserve">A risk assessment has been undertaken by APA and the DoT to assess the potential impact of the WORM pipeline on the future development of the OMR/E6 Transport Corridor, based on the preliminary OMR/E6 concept design undertaken by DoT. Where the WORM poses an unacceptable risk to development (design, </w:t>
      </w:r>
      <w:proofErr w:type="gramStart"/>
      <w:r w:rsidRPr="00427F00">
        <w:t>construction</w:t>
      </w:r>
      <w:proofErr w:type="gramEnd"/>
      <w:r w:rsidRPr="00427F00">
        <w:t xml:space="preserve"> and operation) of the OMR/E6 transport corridor, DoT has provided APA with specific requirements relating to the alignment, design and construction methodology to reduce these risks. These specific requirements, including those outlined further below, have focussed on changes to the vertical and/or horizontal alignment of the pipeline at critical locations and construction specific requirements for works within the OMR</w:t>
      </w:r>
      <w:r w:rsidR="00167080">
        <w:t>/E6</w:t>
      </w:r>
      <w:r w:rsidRPr="00427F00">
        <w:t xml:space="preserve"> P</w:t>
      </w:r>
      <w:r w:rsidR="00806F35">
        <w:t>ublic Acquisition Overlay (P</w:t>
      </w:r>
      <w:r w:rsidRPr="00427F00">
        <w:t>AO</w:t>
      </w:r>
      <w:r w:rsidR="00806F35">
        <w:t>)</w:t>
      </w:r>
      <w:r w:rsidRPr="00427F00">
        <w:t xml:space="preserve">. </w:t>
      </w:r>
    </w:p>
    <w:p w14:paraId="1C45F2DD" w14:textId="77777777" w:rsidR="00427F00" w:rsidRPr="00427F00" w:rsidRDefault="00427F00" w:rsidP="00F4218E">
      <w:pPr>
        <w:pStyle w:val="BodyText"/>
      </w:pPr>
      <w:r w:rsidRPr="00427F00">
        <w:t>DoT’s requirements considered during the Project’s development phase include, but are not limited to:</w:t>
      </w:r>
    </w:p>
    <w:p w14:paraId="3294AB87" w14:textId="77777777" w:rsidR="006951C7" w:rsidRPr="00CB2ED2" w:rsidRDefault="006951C7" w:rsidP="006951C7">
      <w:pPr>
        <w:pStyle w:val="BodyBullet1"/>
      </w:pPr>
      <w:r w:rsidRPr="00CB2ED2">
        <w:t>Re-alignment of the pipeline at:</w:t>
      </w:r>
    </w:p>
    <w:p w14:paraId="0C853921" w14:textId="3E4278F0" w:rsidR="006951C7" w:rsidRPr="00CB2ED2" w:rsidRDefault="006951C7" w:rsidP="006951C7">
      <w:pPr>
        <w:pStyle w:val="BodyBullet2"/>
      </w:pPr>
      <w:r w:rsidRPr="00CB2ED2">
        <w:t>Calder Freeway Interchange (KP 9)</w:t>
      </w:r>
    </w:p>
    <w:p w14:paraId="6DED6DB8" w14:textId="401C8AEF" w:rsidR="006951C7" w:rsidRPr="00CB2ED2" w:rsidRDefault="006951C7" w:rsidP="006951C7">
      <w:pPr>
        <w:pStyle w:val="BodyBullet2"/>
      </w:pPr>
      <w:r w:rsidRPr="00CB2ED2">
        <w:t>Oaklands Road (KP 20)</w:t>
      </w:r>
      <w:r>
        <w:t xml:space="preserve"> </w:t>
      </w:r>
    </w:p>
    <w:p w14:paraId="489717AA" w14:textId="2DB471E1" w:rsidR="006951C7" w:rsidRDefault="006951C7" w:rsidP="006951C7">
      <w:pPr>
        <w:pStyle w:val="BodyBullet2"/>
      </w:pPr>
      <w:r w:rsidRPr="00CB2ED2">
        <w:lastRenderedPageBreak/>
        <w:t>Mickleham Road to north of Donnybrook Road (KP 28 to 32)</w:t>
      </w:r>
    </w:p>
    <w:p w14:paraId="6773BD48" w14:textId="39DB022F" w:rsidR="006951C7" w:rsidRPr="00CB2ED2" w:rsidRDefault="006951C7" w:rsidP="006951C7">
      <w:pPr>
        <w:pStyle w:val="BodyBullet1"/>
      </w:pPr>
      <w:r w:rsidRPr="00CB2ED2">
        <w:t>The alignment of the pipeline to extend beyond all ramp infrastructure within the PAO with no bends and no access pits within the PAO</w:t>
      </w:r>
      <w:r>
        <w:t xml:space="preserve">, </w:t>
      </w:r>
      <w:r w:rsidRPr="00035F40">
        <w:t>unless otherwise agreed with DoT</w:t>
      </w:r>
    </w:p>
    <w:p w14:paraId="5E315BE8" w14:textId="36AE65C6" w:rsidR="006951C7" w:rsidRPr="00CB2ED2" w:rsidRDefault="006951C7" w:rsidP="00B03CB4">
      <w:pPr>
        <w:pStyle w:val="BodyBullet1"/>
        <w:ind w:right="-170"/>
      </w:pPr>
      <w:r w:rsidRPr="00CB2ED2">
        <w:t xml:space="preserve">Pipeline easement width reduced from 15 </w:t>
      </w:r>
      <w:r w:rsidR="009F7977">
        <w:t>m</w:t>
      </w:r>
      <w:r w:rsidR="000561B2">
        <w:t>etres</w:t>
      </w:r>
      <w:r w:rsidR="009F7977">
        <w:t xml:space="preserve"> </w:t>
      </w:r>
      <w:r w:rsidRPr="00CB2ED2">
        <w:t xml:space="preserve">to 10 </w:t>
      </w:r>
      <w:r w:rsidR="009F7977">
        <w:t>m</w:t>
      </w:r>
      <w:r w:rsidR="000561B2">
        <w:t>etres</w:t>
      </w:r>
      <w:r w:rsidRPr="00CB2ED2">
        <w:t xml:space="preserve"> at locations within the OMR/E6 PAO. </w:t>
      </w:r>
    </w:p>
    <w:p w14:paraId="57CE2FDD" w14:textId="68C62657" w:rsidR="00201D46" w:rsidRDefault="00201D46">
      <w:pPr>
        <w:pStyle w:val="BodyText"/>
      </w:pPr>
      <w:r>
        <w:t xml:space="preserve">The refinements at Oaklands Road (KP20) and </w:t>
      </w:r>
      <w:r w:rsidRPr="00CB2ED2">
        <w:t>Mickleham Road to north of Donnybrook Road (KP 28 to 32)</w:t>
      </w:r>
      <w:r>
        <w:t xml:space="preserve"> are illustrated in</w:t>
      </w:r>
      <w:r w:rsidR="003A214F">
        <w:t xml:space="preserve"> </w:t>
      </w:r>
      <w:r w:rsidR="003A214F">
        <w:fldChar w:fldCharType="begin"/>
      </w:r>
      <w:r w:rsidR="003A214F">
        <w:instrText xml:space="preserve"> REF _Ref71111790 \h </w:instrText>
      </w:r>
      <w:r w:rsidR="003A214F">
        <w:fldChar w:fldCharType="separate"/>
      </w:r>
      <w:r w:rsidR="00BA1E56" w:rsidRPr="00B03CB4">
        <w:t>Figure </w:t>
      </w:r>
      <w:r w:rsidR="00BA1E56">
        <w:rPr>
          <w:noProof/>
        </w:rPr>
        <w:t>3</w:t>
      </w:r>
      <w:r w:rsidR="00BA1E56" w:rsidRPr="00B03CB4">
        <w:noBreakHyphen/>
      </w:r>
      <w:r w:rsidR="00BA1E56">
        <w:rPr>
          <w:noProof/>
        </w:rPr>
        <w:t>4</w:t>
      </w:r>
      <w:r w:rsidR="003A214F">
        <w:fldChar w:fldCharType="end"/>
      </w:r>
      <w:r>
        <w:t>. These have not been specifically assessed in the EES but are within the study area of relevant studies. Supplementary assessment would be undertaken as refinements are progressed. Key considerations in reviewing these refinements would be:</w:t>
      </w:r>
    </w:p>
    <w:p w14:paraId="1C0F0F3F" w14:textId="781A3924" w:rsidR="00201D46" w:rsidRDefault="00201D46" w:rsidP="00201D46">
      <w:pPr>
        <w:pStyle w:val="BodyBullet1"/>
      </w:pPr>
      <w:r>
        <w:t xml:space="preserve">Land parcels </w:t>
      </w:r>
      <w:r w:rsidR="00B03CB4">
        <w:t>–</w:t>
      </w:r>
      <w:r>
        <w:t xml:space="preserve"> no additional parcels involved</w:t>
      </w:r>
    </w:p>
    <w:p w14:paraId="08C8B530" w14:textId="682AFEDD" w:rsidR="00201D46" w:rsidRDefault="00201D46" w:rsidP="00201D46">
      <w:pPr>
        <w:pStyle w:val="BodyBullet1"/>
      </w:pPr>
      <w:r>
        <w:t xml:space="preserve">Heritage </w:t>
      </w:r>
      <w:r w:rsidR="00B03CB4">
        <w:t>–</w:t>
      </w:r>
      <w:r>
        <w:t xml:space="preserve"> no relevant registered Aboriginal heritage places</w:t>
      </w:r>
    </w:p>
    <w:p w14:paraId="16DBA8FD" w14:textId="109BB0A9" w:rsidR="00201D46" w:rsidRDefault="00201D46" w:rsidP="00201D46">
      <w:pPr>
        <w:pStyle w:val="BodyBullet1"/>
      </w:pPr>
      <w:r>
        <w:t xml:space="preserve">Biodiversity </w:t>
      </w:r>
      <w:r w:rsidR="00B03CB4">
        <w:t>–</w:t>
      </w:r>
      <w:r>
        <w:t xml:space="preserve"> areas have been surveyed and no additional impacts would be predicted. </w:t>
      </w:r>
    </w:p>
    <w:p w14:paraId="03EEAE62" w14:textId="0AEB7F2C" w:rsidR="00201D46" w:rsidRPr="00B03CB4" w:rsidRDefault="00201D46" w:rsidP="00B03CB4">
      <w:pPr>
        <w:pStyle w:val="Caption"/>
      </w:pPr>
      <w:bookmarkStart w:id="53" w:name="_Ref71111790"/>
      <w:r w:rsidRPr="00B03CB4">
        <w:t>Figure</w:t>
      </w:r>
      <w:r w:rsidR="00F4218E" w:rsidRPr="00B03CB4">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Pr="00B03CB4">
        <w:noBreakHyphen/>
      </w:r>
      <w:r w:rsidR="00D21058">
        <w:fldChar w:fldCharType="begin"/>
      </w:r>
      <w:r w:rsidR="00D21058">
        <w:instrText xml:space="preserve"> SEQ Figure \* ARABIC \s 1 </w:instrText>
      </w:r>
      <w:r w:rsidR="00D21058">
        <w:fldChar w:fldCharType="separate"/>
      </w:r>
      <w:r w:rsidR="00BA1E56">
        <w:rPr>
          <w:noProof/>
        </w:rPr>
        <w:t>4</w:t>
      </w:r>
      <w:r w:rsidR="00D21058">
        <w:rPr>
          <w:noProof/>
        </w:rPr>
        <w:fldChar w:fldCharType="end"/>
      </w:r>
      <w:bookmarkEnd w:id="53"/>
      <w:r w:rsidR="00F4218E" w:rsidRPr="00B03CB4">
        <w:tab/>
      </w:r>
      <w:r w:rsidRPr="00B03CB4">
        <w:t xml:space="preserve">Refinements in consideration at </w:t>
      </w:r>
      <w:r w:rsidR="008341B4" w:rsidRPr="00B03CB4">
        <w:t xml:space="preserve">Oaklands Road and Mickleham Road </w:t>
      </w:r>
    </w:p>
    <w:p w14:paraId="76A4891D" w14:textId="7568F927" w:rsidR="00201D46" w:rsidRPr="00B03CB4" w:rsidRDefault="008341B4" w:rsidP="00B03CB4">
      <w:pPr>
        <w:pStyle w:val="BodyTextSingleSpacing"/>
      </w:pPr>
      <w:r w:rsidRPr="00B03CB4">
        <w:rPr>
          <w:noProof/>
        </w:rPr>
        <w:drawing>
          <wp:inline distT="0" distB="0" distL="0" distR="0" wp14:anchorId="5523AA74" wp14:editId="7D4F69C6">
            <wp:extent cx="5759450" cy="5435193"/>
            <wp:effectExtent l="0" t="0" r="0" b="0"/>
            <wp:docPr id="5" name="Picture 5" descr="This figure shows the prefered route for the WORM pipeline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the prefered route for the WORM pipeline as described in the text above."/>
                    <pic:cNvPicPr/>
                  </pic:nvPicPr>
                  <pic:blipFill rotWithShape="1">
                    <a:blip r:embed="rId23">
                      <a:extLst>
                        <a:ext uri="{28A0092B-C50C-407E-A947-70E740481C1C}">
                          <a14:useLocalDpi xmlns:a14="http://schemas.microsoft.com/office/drawing/2010/main" val="0"/>
                        </a:ext>
                      </a:extLst>
                    </a:blip>
                    <a:srcRect t="917" b="1762"/>
                    <a:stretch/>
                  </pic:blipFill>
                  <pic:spPr bwMode="auto">
                    <a:xfrm>
                      <a:off x="0" y="0"/>
                      <a:ext cx="5759450" cy="5435193"/>
                    </a:xfrm>
                    <a:prstGeom prst="rect">
                      <a:avLst/>
                    </a:prstGeom>
                    <a:ln>
                      <a:noFill/>
                    </a:ln>
                    <a:extLst>
                      <a:ext uri="{53640926-AAD7-44D8-BBD7-CCE9431645EC}">
                        <a14:shadowObscured xmlns:a14="http://schemas.microsoft.com/office/drawing/2010/main"/>
                      </a:ext>
                    </a:extLst>
                  </pic:spPr>
                </pic:pic>
              </a:graphicData>
            </a:graphic>
          </wp:inline>
        </w:drawing>
      </w:r>
    </w:p>
    <w:p w14:paraId="5D93DE64" w14:textId="7C527064" w:rsidR="00064C83" w:rsidRDefault="00064C83" w:rsidP="00064C83">
      <w:pPr>
        <w:pStyle w:val="BodyText"/>
      </w:pPr>
      <w:r>
        <w:lastRenderedPageBreak/>
        <w:t xml:space="preserve">The </w:t>
      </w:r>
      <w:r w:rsidRPr="00064C83">
        <w:t xml:space="preserve">route has also been further refined in response to additional field surveys (including biodiversity and cultural heritage) and design/constructability assessments undertaken between </w:t>
      </w:r>
      <w:r w:rsidR="001D6DFA" w:rsidRPr="00C51E7D">
        <w:t>mid</w:t>
      </w:r>
      <w:r w:rsidR="00F4218E">
        <w:t>-</w:t>
      </w:r>
      <w:r w:rsidRPr="00C51E7D">
        <w:t xml:space="preserve">2019 and </w:t>
      </w:r>
      <w:r w:rsidR="001D6DFA" w:rsidRPr="00C51E7D">
        <w:t xml:space="preserve">early </w:t>
      </w:r>
      <w:r w:rsidRPr="00C51E7D">
        <w:t>202</w:t>
      </w:r>
      <w:r w:rsidR="00190271">
        <w:t>1</w:t>
      </w:r>
      <w:r w:rsidRPr="00064C83">
        <w:t xml:space="preserve"> </w:t>
      </w:r>
      <w:r w:rsidR="00190271">
        <w:t xml:space="preserve">including through the EES technical study assessments with </w:t>
      </w:r>
      <w:r w:rsidR="00881E95">
        <w:t>adjustments in pipeline alignment to:</w:t>
      </w:r>
    </w:p>
    <w:p w14:paraId="46A10CF5" w14:textId="6FAF02A2" w:rsidR="001D6DFA" w:rsidRDefault="00881E95" w:rsidP="00C51E7D">
      <w:pPr>
        <w:pStyle w:val="BodyBullet1"/>
      </w:pPr>
      <w:r>
        <w:t xml:space="preserve">Avoid established </w:t>
      </w:r>
      <w:proofErr w:type="gramStart"/>
      <w:r>
        <w:t>tree-lines</w:t>
      </w:r>
      <w:proofErr w:type="gramEnd"/>
      <w:r>
        <w:t xml:space="preserve"> along some property boundaries</w:t>
      </w:r>
      <w:r w:rsidR="00A40269">
        <w:t xml:space="preserve"> and scattered native trees</w:t>
      </w:r>
    </w:p>
    <w:p w14:paraId="7829A881" w14:textId="340FA61F" w:rsidR="00881E95" w:rsidRDefault="00881E95" w:rsidP="00C51E7D">
      <w:pPr>
        <w:pStyle w:val="BodyBullet1"/>
      </w:pPr>
      <w:r>
        <w:t>Reduce the construction footprint</w:t>
      </w:r>
      <w:r w:rsidR="00A40269">
        <w:t xml:space="preserve"> impacts</w:t>
      </w:r>
      <w:r>
        <w:t xml:space="preserve"> of the pipeline </w:t>
      </w:r>
      <w:r w:rsidR="00DB0A42">
        <w:t xml:space="preserve">(refer Section </w:t>
      </w:r>
      <w:r w:rsidR="00DB0A42">
        <w:fldChar w:fldCharType="begin"/>
      </w:r>
      <w:r w:rsidR="00DB0A42">
        <w:instrText xml:space="preserve"> REF _Ref66716324 \r \h </w:instrText>
      </w:r>
      <w:r w:rsidR="00DB0A42">
        <w:fldChar w:fldCharType="separate"/>
      </w:r>
      <w:r w:rsidR="00BA1E56">
        <w:t>3.11.3</w:t>
      </w:r>
      <w:r w:rsidR="00DB0A42">
        <w:fldChar w:fldCharType="end"/>
      </w:r>
      <w:r w:rsidR="00DB0A42">
        <w:t>)</w:t>
      </w:r>
    </w:p>
    <w:p w14:paraId="2D3E71EF" w14:textId="62375124" w:rsidR="00881E95" w:rsidRDefault="00881E95" w:rsidP="00C51E7D">
      <w:pPr>
        <w:pStyle w:val="BodyBullet1"/>
      </w:pPr>
      <w:r>
        <w:t xml:space="preserve">Avoid dams and </w:t>
      </w:r>
      <w:r w:rsidR="00A40269">
        <w:t>wetlands</w:t>
      </w:r>
    </w:p>
    <w:p w14:paraId="2AFB1E0B" w14:textId="7F30CE9B" w:rsidR="00881E95" w:rsidRDefault="00881E95" w:rsidP="00C51E7D">
      <w:pPr>
        <w:pStyle w:val="BodyBullet1"/>
      </w:pPr>
      <w:r>
        <w:t>Reduce pipeline crossing lengths</w:t>
      </w:r>
      <w:r w:rsidR="00A40269">
        <w:t>/construction footprints</w:t>
      </w:r>
      <w:r>
        <w:t xml:space="preserve"> across established roads or waterway crossings (requiring introduction of some </w:t>
      </w:r>
      <w:r w:rsidR="00A40269">
        <w:t>right-angle</w:t>
      </w:r>
      <w:r>
        <w:t xml:space="preserve"> bends in the pipeline)</w:t>
      </w:r>
    </w:p>
    <w:p w14:paraId="4DF56076" w14:textId="2CE3F2C2" w:rsidR="009155CE" w:rsidRPr="00C56D77" w:rsidRDefault="00A40269" w:rsidP="00C56D77">
      <w:pPr>
        <w:pStyle w:val="BodyBullet1"/>
      </w:pPr>
      <w:r>
        <w:t xml:space="preserve">Avoid suitable habitat for protected </w:t>
      </w:r>
      <w:r w:rsidR="00A75E3A">
        <w:t xml:space="preserve">fauna under state and federal legislation </w:t>
      </w:r>
      <w:r w:rsidR="00FB5F77" w:rsidRPr="00C56D77">
        <w:t>including</w:t>
      </w:r>
      <w:r w:rsidR="00C56D77">
        <w:t xml:space="preserve"> re</w:t>
      </w:r>
      <w:r w:rsidR="00727ABB">
        <w:t xml:space="preserve">fined </w:t>
      </w:r>
      <w:r w:rsidR="00C56D77">
        <w:t>alignment of the pipeline to avoid 2.8 ha of grassy woodland including 10 large trees at five locations (KP 22.6, KP 8.7, KP 14.8, KP 28, KP 41)</w:t>
      </w:r>
    </w:p>
    <w:p w14:paraId="194BAFA5" w14:textId="1B46CF64" w:rsidR="00727ABB" w:rsidRDefault="00727ABB" w:rsidP="00C51E7D">
      <w:pPr>
        <w:pStyle w:val="BodyBullet1"/>
      </w:pPr>
      <w:r>
        <w:t xml:space="preserve">Avoid grassland protected under state and federal legislation or other native vegetation including refined alignment of the pipeline at Bulla-Diggers Rest Road (KP 10.6 </w:t>
      </w:r>
      <w:r w:rsidR="003C209D">
        <w:t>–</w:t>
      </w:r>
      <w:r>
        <w:t xml:space="preserve"> 10.8 and KP 11.5 </w:t>
      </w:r>
      <w:r w:rsidR="00B03CB4">
        <w:t>–</w:t>
      </w:r>
      <w:r>
        <w:t xml:space="preserve"> 12), St Johns Road (KP 18.9 </w:t>
      </w:r>
      <w:r w:rsidR="003C209D">
        <w:t>–</w:t>
      </w:r>
      <w:r>
        <w:t xml:space="preserve"> 19.1), Oaklands Road (KP 20.1 </w:t>
      </w:r>
      <w:r w:rsidR="003C209D">
        <w:t>–</w:t>
      </w:r>
      <w:r>
        <w:t xml:space="preserve"> 21.3)</w:t>
      </w:r>
      <w:r w:rsidR="007253FE">
        <w:t>, Donnybrook Road (KP 29 and KP</w:t>
      </w:r>
      <w:r w:rsidR="00B03CB4">
        <w:t> </w:t>
      </w:r>
      <w:r w:rsidR="007253FE">
        <w:t>33)</w:t>
      </w:r>
    </w:p>
    <w:p w14:paraId="11AD58F6" w14:textId="33D7FAE9" w:rsidR="009155CE" w:rsidRDefault="00117101" w:rsidP="00C51E7D">
      <w:pPr>
        <w:pStyle w:val="BodyBullet1"/>
      </w:pPr>
      <w:r>
        <w:t>A</w:t>
      </w:r>
      <w:r w:rsidR="009155CE" w:rsidRPr="009155CE">
        <w:t>void Seasonal Herbaceous Wetlands (Freshwater) of the Temperate Lowland Plains (SHWTLP)</w:t>
      </w:r>
    </w:p>
    <w:p w14:paraId="1262A5DA" w14:textId="0CDC9E8F" w:rsidR="00881E95" w:rsidRDefault="00117101" w:rsidP="00C51E7D">
      <w:pPr>
        <w:pStyle w:val="BodyBullet1"/>
      </w:pPr>
      <w:r>
        <w:t>M</w:t>
      </w:r>
      <w:r w:rsidR="009155CE" w:rsidRPr="009155CE">
        <w:t>inimise clearing of riparian vegetation</w:t>
      </w:r>
      <w:r w:rsidRPr="00117101">
        <w:t xml:space="preserve"> </w:t>
      </w:r>
      <w:r w:rsidR="00C56D77">
        <w:t xml:space="preserve">through siting in existing disturbed area </w:t>
      </w:r>
      <w:r w:rsidR="00057118">
        <w:t xml:space="preserve">at Merri Creek </w:t>
      </w:r>
      <w:r w:rsidR="00C56D77">
        <w:t>and reducing corridor width from 30 m</w:t>
      </w:r>
      <w:r w:rsidR="000561B2">
        <w:t>etres</w:t>
      </w:r>
      <w:r w:rsidR="00C56D77">
        <w:t xml:space="preserve"> to 20 m</w:t>
      </w:r>
      <w:r w:rsidR="000561B2">
        <w:t>etres</w:t>
      </w:r>
      <w:r w:rsidR="00C56D77">
        <w:t xml:space="preserve"> at Jacksons </w:t>
      </w:r>
      <w:r w:rsidRPr="009155CE">
        <w:t>Creek</w:t>
      </w:r>
      <w:r w:rsidR="00A75E3A">
        <w:t>.</w:t>
      </w:r>
    </w:p>
    <w:p w14:paraId="06F9BC54" w14:textId="7F5A5F8E" w:rsidR="00DB4374" w:rsidRDefault="00DB4374" w:rsidP="00DB4374">
      <w:pPr>
        <w:pStyle w:val="BodyText"/>
      </w:pPr>
      <w:r w:rsidRPr="00DB4374">
        <w:t xml:space="preserve">In considering all pipeline alignment refinements </w:t>
      </w:r>
      <w:r>
        <w:t>outlined above, APA assessed the social and environmental impacts of the refinements including:</w:t>
      </w:r>
    </w:p>
    <w:p w14:paraId="4910C984" w14:textId="61789CB5" w:rsidR="00DB4374" w:rsidRDefault="00DB4374" w:rsidP="00DB4374">
      <w:pPr>
        <w:pStyle w:val="BodyBullet1"/>
      </w:pPr>
      <w:r>
        <w:t>Additional landowners involved</w:t>
      </w:r>
      <w:r w:rsidR="007253FE">
        <w:t xml:space="preserve"> in the change</w:t>
      </w:r>
      <w:r>
        <w:t>, landowner engagement and potential impacts to</w:t>
      </w:r>
      <w:r w:rsidR="00B03CB4">
        <w:t> </w:t>
      </w:r>
      <w:r>
        <w:t>landholders</w:t>
      </w:r>
    </w:p>
    <w:p w14:paraId="117AB837" w14:textId="0C7EBBB7" w:rsidR="00DB4374" w:rsidRDefault="00DB4374" w:rsidP="00DB4374">
      <w:pPr>
        <w:pStyle w:val="BodyBullet1"/>
      </w:pPr>
      <w:r>
        <w:t xml:space="preserve">Biodiversity </w:t>
      </w:r>
      <w:r w:rsidR="00D434D2">
        <w:t xml:space="preserve">desktop assessment and </w:t>
      </w:r>
      <w:r>
        <w:t xml:space="preserve">field survey where necessary (where </w:t>
      </w:r>
      <w:r w:rsidR="00D434D2">
        <w:t>potential biodiversity</w:t>
      </w:r>
      <w:r w:rsidR="00B03CB4">
        <w:t> </w:t>
      </w:r>
      <w:r w:rsidR="00D434D2">
        <w:t xml:space="preserve">impact and </w:t>
      </w:r>
      <w:r>
        <w:t>outside the MSA) to understand the existing vegetation and habitat and potential impacts</w:t>
      </w:r>
    </w:p>
    <w:p w14:paraId="59E3D997" w14:textId="7E7BA494" w:rsidR="007253FE" w:rsidRDefault="007253FE" w:rsidP="00DB4374">
      <w:pPr>
        <w:pStyle w:val="BodyBullet1"/>
      </w:pPr>
      <w:r>
        <w:t>Cultural heritage review of archaeological potential</w:t>
      </w:r>
    </w:p>
    <w:p w14:paraId="2255255A" w14:textId="535F4F72" w:rsidR="00DB4374" w:rsidRPr="00DB4374" w:rsidRDefault="00D434D2" w:rsidP="00C56D77">
      <w:pPr>
        <w:pStyle w:val="BodyBullet1"/>
      </w:pPr>
      <w:r>
        <w:t xml:space="preserve">Constructability and associated environmental impacts such as geotechnical conditions. </w:t>
      </w:r>
    </w:p>
    <w:p w14:paraId="2E1E72C0" w14:textId="6088B2AA" w:rsidR="008C5D63" w:rsidRDefault="008C5D63" w:rsidP="001943A9">
      <w:pPr>
        <w:pStyle w:val="BodyText"/>
      </w:pPr>
      <w:r>
        <w:t xml:space="preserve">The adjustment between Option C and the final alignment assessed in the EES is shown in </w:t>
      </w:r>
      <w:r>
        <w:fldChar w:fldCharType="begin"/>
      </w:r>
      <w:r>
        <w:instrText xml:space="preserve"> REF _Ref62062017 \h </w:instrText>
      </w:r>
      <w:r>
        <w:fldChar w:fldCharType="separate"/>
      </w:r>
      <w:r w:rsidR="00BA1E56">
        <w:t>Figure </w:t>
      </w:r>
      <w:r w:rsidR="00BA1E56">
        <w:rPr>
          <w:noProof/>
        </w:rPr>
        <w:t>3</w:t>
      </w:r>
      <w:r w:rsidR="00BA1E56">
        <w:noBreakHyphen/>
      </w:r>
      <w:r w:rsidR="00BA1E56">
        <w:rPr>
          <w:noProof/>
        </w:rPr>
        <w:t>5</w:t>
      </w:r>
      <w:r>
        <w:fldChar w:fldCharType="end"/>
      </w:r>
      <w:r>
        <w:t>.</w:t>
      </w:r>
    </w:p>
    <w:p w14:paraId="773B0CE1" w14:textId="78B8C0AB" w:rsidR="00930812" w:rsidRDefault="00930812" w:rsidP="001943A9">
      <w:pPr>
        <w:pStyle w:val="BodyText"/>
      </w:pPr>
      <w:r>
        <w:t xml:space="preserve">Further alignment refinements would continue to be considered as stakeholder and landowner engagement continues and detailed design is progressed. </w:t>
      </w:r>
    </w:p>
    <w:p w14:paraId="5EF296B0" w14:textId="008ADD75" w:rsidR="008C5D63" w:rsidRDefault="008C5D63" w:rsidP="008C5D63">
      <w:pPr>
        <w:pStyle w:val="Caption"/>
      </w:pPr>
      <w:bookmarkStart w:id="54" w:name="_Ref62062017"/>
      <w:r>
        <w:lastRenderedPageBreak/>
        <w:t>Figure</w:t>
      </w:r>
      <w:r w:rsidR="00F4218E">
        <w:t> </w:t>
      </w:r>
      <w:r w:rsidR="00D21058">
        <w:fldChar w:fldCharType="begin"/>
      </w:r>
      <w:r w:rsidR="00D21058">
        <w:instrText xml:space="preserve"> STY</w:instrText>
      </w:r>
      <w:r w:rsidR="00D21058">
        <w:instrText xml:space="preserve">LEREF 1 \s </w:instrText>
      </w:r>
      <w:r w:rsidR="00D21058">
        <w:fldChar w:fldCharType="separate"/>
      </w:r>
      <w:r w:rsidR="00BA1E56">
        <w:rPr>
          <w:noProof/>
        </w:rPr>
        <w:t>3</w:t>
      </w:r>
      <w:r w:rsidR="00D21058">
        <w:rPr>
          <w:noProof/>
        </w:rPr>
        <w:fldChar w:fldCharType="end"/>
      </w:r>
      <w:r w:rsidR="007253FE">
        <w:noBreakHyphen/>
      </w:r>
      <w:r w:rsidR="00D21058">
        <w:fldChar w:fldCharType="begin"/>
      </w:r>
      <w:r w:rsidR="00D21058">
        <w:instrText xml:space="preserve"> SEQ Figure \* ARABIC \s 1 </w:instrText>
      </w:r>
      <w:r w:rsidR="00D21058">
        <w:fldChar w:fldCharType="separate"/>
      </w:r>
      <w:r w:rsidR="00BA1E56">
        <w:rPr>
          <w:noProof/>
        </w:rPr>
        <w:t>5</w:t>
      </w:r>
      <w:r w:rsidR="00D21058">
        <w:rPr>
          <w:noProof/>
        </w:rPr>
        <w:fldChar w:fldCharType="end"/>
      </w:r>
      <w:bookmarkEnd w:id="54"/>
      <w:r w:rsidR="00F4218E">
        <w:tab/>
      </w:r>
      <w:r>
        <w:t>Option C and refined option in EES</w:t>
      </w:r>
    </w:p>
    <w:p w14:paraId="3992D24C" w14:textId="42D31C1A" w:rsidR="008C5D63" w:rsidRDefault="00F71410" w:rsidP="00F4218E">
      <w:pPr>
        <w:pStyle w:val="Object"/>
      </w:pPr>
      <w:r>
        <w:rPr>
          <w:noProof/>
        </w:rPr>
        <w:drawing>
          <wp:inline distT="0" distB="0" distL="0" distR="0" wp14:anchorId="25FB70CA" wp14:editId="679E75F0">
            <wp:extent cx="5759450" cy="5584825"/>
            <wp:effectExtent l="0" t="0" r="0" b="0"/>
            <wp:docPr id="10" name="Picture 10" descr="This figure shows two aerial images with an image of KP 31-32 to the left and KP 20-21 to the right. These aerial images show the OMR, project alignment and possible alignment refine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wo aerial images with an image of KP 31-32 to the left and KP 20-21 to the right. These aerial images show the OMR, project alignment and possible alignment refinement as discussed in the text above."/>
                    <pic:cNvPicPr/>
                  </pic:nvPicPr>
                  <pic:blipFill>
                    <a:blip r:embed="rId24">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37E9F600" w14:textId="77777777" w:rsidR="00F4218E" w:rsidRPr="00F4218E" w:rsidRDefault="00F4218E" w:rsidP="00F4218E">
      <w:pPr>
        <w:pStyle w:val="Source"/>
      </w:pPr>
    </w:p>
    <w:p w14:paraId="60F275BE" w14:textId="248FDC87" w:rsidR="00064C83" w:rsidRPr="00064C83" w:rsidRDefault="00064C83" w:rsidP="00B03CB4">
      <w:pPr>
        <w:pStyle w:val="Heading2"/>
        <w:pageBreakBefore/>
      </w:pPr>
      <w:bookmarkStart w:id="55" w:name="_Toc62128805"/>
      <w:bookmarkStart w:id="56" w:name="_Toc62758887"/>
      <w:bookmarkStart w:id="57" w:name="_Toc62758922"/>
      <w:bookmarkStart w:id="58" w:name="_Toc62758923"/>
      <w:bookmarkStart w:id="59" w:name="_Toc71242076"/>
      <w:bookmarkStart w:id="60" w:name="_Toc72198642"/>
      <w:bookmarkEnd w:id="55"/>
      <w:bookmarkEnd w:id="56"/>
      <w:bookmarkEnd w:id="57"/>
      <w:r w:rsidRPr="00EB01DA">
        <w:lastRenderedPageBreak/>
        <w:t xml:space="preserve">Confirmation of </w:t>
      </w:r>
      <w:r w:rsidR="00822D71">
        <w:t>above ground facilities</w:t>
      </w:r>
      <w:bookmarkEnd w:id="58"/>
      <w:bookmarkEnd w:id="59"/>
      <w:bookmarkEnd w:id="60"/>
    </w:p>
    <w:p w14:paraId="062CAAAD" w14:textId="4F8B15E3" w:rsidR="00064C83" w:rsidRPr="0099045C" w:rsidRDefault="0099045C">
      <w:pPr>
        <w:pStyle w:val="BodyText"/>
        <w:rPr>
          <w:rStyle w:val="Highlight"/>
          <w:rFonts w:asciiTheme="majorHAnsi" w:eastAsiaTheme="majorEastAsia" w:hAnsiTheme="majorHAnsi" w:cstheme="majorBidi"/>
          <w:bCs/>
          <w:color w:val="1C4483" w:themeColor="accent1"/>
          <w:spacing w:val="2"/>
          <w:sz w:val="30"/>
          <w:szCs w:val="28"/>
          <w:shd w:val="clear" w:color="auto" w:fill="auto"/>
        </w:rPr>
      </w:pPr>
      <w:r w:rsidRPr="00337199">
        <w:rPr>
          <w:rStyle w:val="Highlight"/>
          <w:shd w:val="clear" w:color="auto" w:fill="auto"/>
        </w:rPr>
        <w:t>A</w:t>
      </w:r>
      <w:r w:rsidR="00556655" w:rsidRPr="0099045C">
        <w:rPr>
          <w:rStyle w:val="Highlight"/>
          <w:shd w:val="clear" w:color="auto" w:fill="auto"/>
        </w:rPr>
        <w:t>b</w:t>
      </w:r>
      <w:r w:rsidR="00556655" w:rsidRPr="00C51E7D">
        <w:rPr>
          <w:rStyle w:val="Highlight"/>
          <w:shd w:val="clear" w:color="auto" w:fill="auto"/>
        </w:rPr>
        <w:t xml:space="preserve">ove-ground facilities required for </w:t>
      </w:r>
      <w:r w:rsidR="00556655" w:rsidRPr="0006658D">
        <w:rPr>
          <w:rStyle w:val="Highlight"/>
          <w:shd w:val="clear" w:color="auto" w:fill="auto"/>
        </w:rPr>
        <w:t xml:space="preserve">the </w:t>
      </w:r>
      <w:r w:rsidR="0006658D" w:rsidRPr="001943A9">
        <w:rPr>
          <w:rStyle w:val="Highlight"/>
          <w:shd w:val="clear" w:color="auto" w:fill="auto"/>
        </w:rPr>
        <w:t>P</w:t>
      </w:r>
      <w:r w:rsidR="00556655" w:rsidRPr="0006658D">
        <w:rPr>
          <w:rStyle w:val="Highlight"/>
          <w:shd w:val="clear" w:color="auto" w:fill="auto"/>
        </w:rPr>
        <w:t>roject</w:t>
      </w:r>
      <w:r w:rsidR="00556655" w:rsidRPr="00C51E7D">
        <w:rPr>
          <w:rStyle w:val="Highlight"/>
          <w:shd w:val="clear" w:color="auto" w:fill="auto"/>
        </w:rPr>
        <w:t xml:space="preserve"> </w:t>
      </w:r>
      <w:r w:rsidR="00556655" w:rsidRPr="0099045C">
        <w:rPr>
          <w:rStyle w:val="Highlight"/>
          <w:shd w:val="clear" w:color="auto" w:fill="auto"/>
        </w:rPr>
        <w:t>include</w:t>
      </w:r>
      <w:r w:rsidRPr="00337199">
        <w:rPr>
          <w:rStyle w:val="Highlight"/>
          <w:shd w:val="clear" w:color="auto" w:fill="auto"/>
        </w:rPr>
        <w:t xml:space="preserve"> three main line valves (MLV) and facilities at the Wollert Compressor Station. </w:t>
      </w:r>
    </w:p>
    <w:p w14:paraId="2C10E79C" w14:textId="3C184EF7" w:rsidR="00677DB3" w:rsidRPr="00C51E7D" w:rsidRDefault="00677DB3" w:rsidP="00337199">
      <w:pPr>
        <w:pStyle w:val="BodyText"/>
      </w:pPr>
      <w:r w:rsidRPr="00C51E7D">
        <w:t>The location of MLV is broadly driven by the guidance in AS/NZS 2885.1 for the lengths of pipeline between MLV in urban areas. The considerations for the specific location of each MLV is the operability and maintainability of site. This consideration usually locates MLV adjacent to roads for ease of access by vehicle and mains power.</w:t>
      </w:r>
      <w:r w:rsidR="00977B52">
        <w:t xml:space="preserve"> The MLV equipment and layout is a standard design used for MLV on all parts of the VTS. </w:t>
      </w:r>
    </w:p>
    <w:p w14:paraId="30F353BD" w14:textId="31E33006" w:rsidR="00677DB3" w:rsidRDefault="00677DB3" w:rsidP="00337199">
      <w:pPr>
        <w:pStyle w:val="BodyText"/>
      </w:pPr>
      <w:r w:rsidRPr="004E08E8">
        <w:t xml:space="preserve">The existing Wollert compressor station has 3 Solar Saturn gas compressors in Station A, and 2 Solar Centaur 50 gas compressors in Station B. The </w:t>
      </w:r>
      <w:r w:rsidR="0099045C">
        <w:t>additional</w:t>
      </w:r>
      <w:r w:rsidRPr="004E08E8">
        <w:t xml:space="preserve"> compressor </w:t>
      </w:r>
      <w:r w:rsidR="0099045C">
        <w:t xml:space="preserve">would </w:t>
      </w:r>
      <w:r w:rsidRPr="004E08E8">
        <w:t>be installed within Station B area, in the hard stand area to the west of the existing 2 compressors</w:t>
      </w:r>
      <w:r w:rsidR="0099045C">
        <w:t xml:space="preserve"> </w:t>
      </w:r>
      <w:r w:rsidRPr="004E08E8">
        <w:t xml:space="preserve">and an end of line scraper station and a regulating station in the City Gate area to the north of the facility. All new equipment proposed </w:t>
      </w:r>
      <w:r w:rsidR="00EF4069">
        <w:t>would</w:t>
      </w:r>
      <w:r w:rsidRPr="004E08E8">
        <w:t xml:space="preserve"> be installed within the existing APA facility at Wollert</w:t>
      </w:r>
      <w:r w:rsidR="00977B52">
        <w:t xml:space="preserve"> with siting driven by the arrangement of the existing facility</w:t>
      </w:r>
      <w:r w:rsidRPr="004E08E8">
        <w:t>.</w:t>
      </w:r>
      <w:r w:rsidR="009155CE">
        <w:t xml:space="preserve"> </w:t>
      </w:r>
      <w:r w:rsidR="009155CE" w:rsidRPr="009155CE">
        <w:t>Following ecological and cultural heritage surveys undertaken between July 2019 and February 2020, the proposed construction footprint for the upgrade of the Wollert compressor facility has been revised to avoid an area of cultural heritage sensitivity and minimise impact to a patch of trees.</w:t>
      </w:r>
    </w:p>
    <w:p w14:paraId="7E085E1C" w14:textId="4D709D3A" w:rsidR="00822D71" w:rsidRDefault="00C20684" w:rsidP="001943A9">
      <w:pPr>
        <w:pStyle w:val="Heading2"/>
      </w:pPr>
      <w:bookmarkStart w:id="61" w:name="_Toc62758924"/>
      <w:bookmarkStart w:id="62" w:name="_Toc71242077"/>
      <w:bookmarkStart w:id="63" w:name="_Toc72198643"/>
      <w:r>
        <w:t>Development</w:t>
      </w:r>
      <w:r w:rsidR="00822D71">
        <w:t xml:space="preserve"> of design and construction</w:t>
      </w:r>
      <w:r w:rsidR="00AE17F3">
        <w:t> </w:t>
      </w:r>
      <w:r w:rsidR="00822D71">
        <w:t>methodology</w:t>
      </w:r>
      <w:bookmarkEnd w:id="61"/>
      <w:bookmarkEnd w:id="62"/>
      <w:bookmarkEnd w:id="63"/>
    </w:p>
    <w:p w14:paraId="69CACDF3" w14:textId="4619C1B2" w:rsidR="00AB7F3A" w:rsidRDefault="003F65B8">
      <w:pPr>
        <w:pStyle w:val="BodyText"/>
      </w:pPr>
      <w:r>
        <w:t xml:space="preserve">This section presents </w:t>
      </w:r>
      <w:r w:rsidR="00AB4088">
        <w:t>options considered in the development of</w:t>
      </w:r>
      <w:r w:rsidR="00676DB8">
        <w:t xml:space="preserve"> </w:t>
      </w:r>
      <w:r w:rsidR="00AB4088">
        <w:t>design for</w:t>
      </w:r>
      <w:r>
        <w:t xml:space="preserve"> the </w:t>
      </w:r>
      <w:r w:rsidR="000B5B48">
        <w:t xml:space="preserve">pipeline and for the </w:t>
      </w:r>
      <w:r w:rsidR="00E57C1B">
        <w:t>Wollert C</w:t>
      </w:r>
      <w:r>
        <w:t xml:space="preserve">ompressor </w:t>
      </w:r>
      <w:r w:rsidR="00E57C1B">
        <w:t xml:space="preserve">Station, and options considered for key aspects of </w:t>
      </w:r>
      <w:r>
        <w:t xml:space="preserve">construction methodology, including </w:t>
      </w:r>
      <w:r w:rsidR="00E57C1B">
        <w:t>trenched</w:t>
      </w:r>
      <w:r>
        <w:t xml:space="preserve"> and trenchless construction techniques</w:t>
      </w:r>
      <w:r w:rsidR="00E57C1B">
        <w:t>.</w:t>
      </w:r>
      <w:r>
        <w:t xml:space="preserve"> </w:t>
      </w:r>
      <w:r w:rsidR="00E57C1B">
        <w:t>T</w:t>
      </w:r>
      <w:r>
        <w:t xml:space="preserve">he factors that contributed to the selected </w:t>
      </w:r>
      <w:r w:rsidR="00E57C1B">
        <w:t xml:space="preserve">design and </w:t>
      </w:r>
      <w:r>
        <w:t>construction techniques</w:t>
      </w:r>
      <w:r w:rsidR="00E57C1B">
        <w:t xml:space="preserve"> are outlined below</w:t>
      </w:r>
      <w:r>
        <w:t xml:space="preserve">. </w:t>
      </w:r>
    </w:p>
    <w:p w14:paraId="33624425" w14:textId="314E2823" w:rsidR="000B5B48" w:rsidRDefault="000B5B48" w:rsidP="00B32E83">
      <w:pPr>
        <w:pStyle w:val="Heading3"/>
      </w:pPr>
      <w:bookmarkStart w:id="64" w:name="_Toc71242078"/>
      <w:bookmarkStart w:id="65" w:name="_Toc72198644"/>
      <w:r>
        <w:t>Pipeline diameter</w:t>
      </w:r>
      <w:bookmarkEnd w:id="64"/>
      <w:bookmarkEnd w:id="65"/>
      <w:r w:rsidR="00C256E4">
        <w:t xml:space="preserve"> </w:t>
      </w:r>
    </w:p>
    <w:p w14:paraId="6AABB834" w14:textId="25E393D8" w:rsidR="007843B9" w:rsidRDefault="007843B9" w:rsidP="007843B9">
      <w:pPr>
        <w:pStyle w:val="BodyText"/>
      </w:pPr>
      <w:r>
        <w:t>APA</w:t>
      </w:r>
      <w:r w:rsidR="00453AA2">
        <w:t>'s original design was based on a 500</w:t>
      </w:r>
      <w:r w:rsidR="00B36A98">
        <w:t xml:space="preserve"> </w:t>
      </w:r>
      <w:r w:rsidR="00453AA2">
        <w:t>mm diameter pipeline.</w:t>
      </w:r>
    </w:p>
    <w:p w14:paraId="6F9F1EB3" w14:textId="3E78854C" w:rsidR="000B5B48" w:rsidRPr="000B5B48" w:rsidRDefault="000B6F13" w:rsidP="00B32E83">
      <w:pPr>
        <w:pStyle w:val="BodyText"/>
      </w:pPr>
      <w:r>
        <w:t xml:space="preserve">In early 2021, </w:t>
      </w:r>
      <w:r w:rsidR="00235DEF">
        <w:t>AEMO and</w:t>
      </w:r>
      <w:r w:rsidR="000B5B48" w:rsidRPr="000B5B48">
        <w:t xml:space="preserve"> APA </w:t>
      </w:r>
      <w:r w:rsidR="00235DEF">
        <w:t>were</w:t>
      </w:r>
      <w:r w:rsidR="000B5B48" w:rsidRPr="000B5B48">
        <w:t xml:space="preserve"> requested by users of the Victorian </w:t>
      </w:r>
      <w:r w:rsidR="00054A28">
        <w:t>gas Declared Transmission System</w:t>
      </w:r>
      <w:r w:rsidR="000B5B48" w:rsidRPr="000B5B48">
        <w:t xml:space="preserve"> through the Victorian </w:t>
      </w:r>
      <w:r w:rsidR="00235DEF">
        <w:t xml:space="preserve">Gas </w:t>
      </w:r>
      <w:r w:rsidR="000B5B48" w:rsidRPr="000B5B48">
        <w:t>Planning Report process to consider expansion options to address the probable gas supply scenarios. One of the</w:t>
      </w:r>
      <w:r w:rsidR="00054A28">
        <w:t>se expansion</w:t>
      </w:r>
      <w:r w:rsidR="000B5B48" w:rsidRPr="000B5B48">
        <w:t xml:space="preserve"> options </w:t>
      </w:r>
      <w:r w:rsidR="00054A28">
        <w:t xml:space="preserve">was to utilise </w:t>
      </w:r>
      <w:r w:rsidR="000B5B48" w:rsidRPr="000B5B48">
        <w:t>a 600</w:t>
      </w:r>
      <w:r w:rsidR="00B629A1">
        <w:t xml:space="preserve"> </w:t>
      </w:r>
      <w:r w:rsidR="000B5B48" w:rsidRPr="000B5B48">
        <w:t>m</w:t>
      </w:r>
      <w:r w:rsidR="00054A28">
        <w:t>m</w:t>
      </w:r>
      <w:r w:rsidR="000B5B48" w:rsidRPr="000B5B48">
        <w:t xml:space="preserve"> diameter</w:t>
      </w:r>
      <w:r w:rsidR="00B03CB4">
        <w:t> </w:t>
      </w:r>
      <w:r w:rsidR="000B5B48" w:rsidRPr="000B5B48">
        <w:t xml:space="preserve">pipeline </w:t>
      </w:r>
      <w:r w:rsidR="00054A28">
        <w:t>instead of the</w:t>
      </w:r>
      <w:r w:rsidR="000B5B48" w:rsidRPr="000B5B48">
        <w:t xml:space="preserve"> proposed 500</w:t>
      </w:r>
      <w:r w:rsidR="00B629A1">
        <w:t xml:space="preserve"> </w:t>
      </w:r>
      <w:r w:rsidR="000B5B48" w:rsidRPr="000B5B48">
        <w:t>mm pipeline</w:t>
      </w:r>
      <w:r w:rsidR="00054A28">
        <w:t>. It was considered that the increased diameter woul</w:t>
      </w:r>
      <w:r w:rsidR="000B5B48" w:rsidRPr="000B5B48">
        <w:t xml:space="preserve">d: </w:t>
      </w:r>
    </w:p>
    <w:p w14:paraId="4669B422" w14:textId="701C2E70" w:rsidR="000B5B48" w:rsidRPr="000B5B48" w:rsidRDefault="000B5B48" w:rsidP="0051058D">
      <w:pPr>
        <w:pStyle w:val="BodyBullet1"/>
      </w:pPr>
      <w:r w:rsidRPr="000B5B48">
        <w:t>Increase</w:t>
      </w:r>
      <w:r w:rsidR="00054A28">
        <w:t xml:space="preserve"> ab</w:t>
      </w:r>
      <w:r w:rsidRPr="000B5B48">
        <w:t xml:space="preserve">ility in the future </w:t>
      </w:r>
      <w:r w:rsidR="00B629A1">
        <w:t>for</w:t>
      </w:r>
      <w:r w:rsidRPr="000B5B48">
        <w:t xml:space="preserve"> the South West Pipeline </w:t>
      </w:r>
      <w:r w:rsidR="00B629A1">
        <w:t xml:space="preserve">to respond to changes in gas supply </w:t>
      </w:r>
      <w:r w:rsidRPr="000B5B48">
        <w:t>under a staged approach</w:t>
      </w:r>
    </w:p>
    <w:p w14:paraId="603066F9" w14:textId="171E3BEA" w:rsidR="000B5B48" w:rsidRPr="000B5B48" w:rsidRDefault="007152F9" w:rsidP="0051058D">
      <w:pPr>
        <w:pStyle w:val="BodyBullet1"/>
      </w:pPr>
      <w:r>
        <w:t>Provide w</w:t>
      </w:r>
      <w:r w:rsidR="000B5B48" w:rsidRPr="000B5B48">
        <w:t xml:space="preserve">inter demand gas and security of supply </w:t>
      </w:r>
      <w:r w:rsidR="00054A28">
        <w:t xml:space="preserve">for </w:t>
      </w:r>
      <w:r w:rsidR="000B5B48" w:rsidRPr="000B5B48">
        <w:t>peak demand services</w:t>
      </w:r>
    </w:p>
    <w:p w14:paraId="3BEB4A81" w14:textId="75617915" w:rsidR="000B5B48" w:rsidRPr="000B5B48" w:rsidRDefault="000B5B48" w:rsidP="0051058D">
      <w:pPr>
        <w:pStyle w:val="BodyBullet1"/>
      </w:pPr>
      <w:r w:rsidRPr="000B5B48">
        <w:t>Provi</w:t>
      </w:r>
      <w:r w:rsidR="007152F9">
        <w:t>de</w:t>
      </w:r>
      <w:r w:rsidRPr="000B5B48">
        <w:t xml:space="preserve"> for </w:t>
      </w:r>
      <w:r w:rsidR="00BC58FA">
        <w:t>future</w:t>
      </w:r>
      <w:r w:rsidR="00BC58FA" w:rsidRPr="000B5B48">
        <w:t xml:space="preserve"> </w:t>
      </w:r>
      <w:r w:rsidRPr="000B5B48">
        <w:t>sources of gas to the East Coast Gas Grid</w:t>
      </w:r>
    </w:p>
    <w:p w14:paraId="4C960DDB" w14:textId="35ABF7B8" w:rsidR="000B5B48" w:rsidRDefault="007152F9" w:rsidP="0051058D">
      <w:pPr>
        <w:pStyle w:val="BodyBullet1"/>
      </w:pPr>
      <w:r>
        <w:t>Assist with more e</w:t>
      </w:r>
      <w:r w:rsidR="000B5B48" w:rsidRPr="000B5B48">
        <w:t>fficient outcomes of capital deployment</w:t>
      </w:r>
      <w:r w:rsidR="00054A28">
        <w:t>,</w:t>
      </w:r>
      <w:r w:rsidR="000B5B48" w:rsidRPr="000B5B48">
        <w:t xml:space="preserve"> considering the Victorian regulator model associated with this asset base. </w:t>
      </w:r>
    </w:p>
    <w:p w14:paraId="2A7BDFA7" w14:textId="4443700E" w:rsidR="00534742" w:rsidRDefault="00054A28" w:rsidP="000B5B48">
      <w:pPr>
        <w:pStyle w:val="BodyText"/>
      </w:pPr>
      <w:r>
        <w:lastRenderedPageBreak/>
        <w:t>T</w:t>
      </w:r>
      <w:r w:rsidR="000B5B48" w:rsidRPr="000B5B48">
        <w:t xml:space="preserve">he width of the construction </w:t>
      </w:r>
      <w:r w:rsidR="00534742">
        <w:t>corridor</w:t>
      </w:r>
      <w:r w:rsidR="00534742" w:rsidRPr="000B5B48">
        <w:t xml:space="preserve"> </w:t>
      </w:r>
      <w:r>
        <w:t>for the 500</w:t>
      </w:r>
      <w:r w:rsidR="00F4218E">
        <w:t> </w:t>
      </w:r>
      <w:r>
        <w:t xml:space="preserve">mm diameter pipeline </w:t>
      </w:r>
      <w:r w:rsidR="00534742">
        <w:t>would be</w:t>
      </w:r>
      <w:r w:rsidR="000B5B48" w:rsidRPr="000B5B48">
        <w:t xml:space="preserve"> sufficient to accommodate the construction of a 600</w:t>
      </w:r>
      <w:r w:rsidR="00F4218E">
        <w:t> </w:t>
      </w:r>
      <w:r w:rsidR="000B5B48" w:rsidRPr="000B5B48">
        <w:t xml:space="preserve">mm </w:t>
      </w:r>
      <w:r>
        <w:t xml:space="preserve">diameter </w:t>
      </w:r>
      <w:r w:rsidR="000B5B48" w:rsidRPr="000B5B48">
        <w:t xml:space="preserve">pipeline. The construction </w:t>
      </w:r>
      <w:r w:rsidR="00534742">
        <w:t>corridor would require</w:t>
      </w:r>
      <w:r w:rsidR="000B5B48" w:rsidRPr="000B5B48">
        <w:t xml:space="preserve"> minor revisions to the </w:t>
      </w:r>
      <w:r w:rsidR="00534742">
        <w:t xml:space="preserve">area </w:t>
      </w:r>
      <w:r>
        <w:t>at</w:t>
      </w:r>
      <w:r w:rsidR="000B5B48" w:rsidRPr="000B5B48">
        <w:t xml:space="preserve"> two HDD</w:t>
      </w:r>
      <w:r>
        <w:t xml:space="preserve"> </w:t>
      </w:r>
      <w:r w:rsidR="000B5B48" w:rsidRPr="000B5B48">
        <w:t xml:space="preserve">locations to accommodate the </w:t>
      </w:r>
      <w:r w:rsidR="00A45E26">
        <w:t>greater</w:t>
      </w:r>
      <w:r w:rsidR="000B5B48" w:rsidRPr="000B5B48">
        <w:t xml:space="preserve"> bending radius of the 600</w:t>
      </w:r>
      <w:r w:rsidR="00F4218E">
        <w:t> </w:t>
      </w:r>
      <w:r w:rsidR="000B5B48" w:rsidRPr="000B5B48">
        <w:t>mm pipeline</w:t>
      </w:r>
      <w:r w:rsidR="00534742">
        <w:t>. The HDD pit would be slightly larger at</w:t>
      </w:r>
      <w:r>
        <w:t xml:space="preserve">: </w:t>
      </w:r>
    </w:p>
    <w:p w14:paraId="640E17F5" w14:textId="021F681F" w:rsidR="00534742" w:rsidRDefault="00054A28" w:rsidP="00534742">
      <w:pPr>
        <w:pStyle w:val="BodyBullet1"/>
      </w:pPr>
      <w:r w:rsidRPr="00054A28">
        <w:t>Melton Highway</w:t>
      </w:r>
      <w:r>
        <w:t xml:space="preserve">, where the construction </w:t>
      </w:r>
      <w:r w:rsidR="00534742">
        <w:t xml:space="preserve">corridor </w:t>
      </w:r>
      <w:r>
        <w:t>would extend on either side by approximately 30</w:t>
      </w:r>
      <w:r w:rsidR="00F4218E">
        <w:t> </w:t>
      </w:r>
      <w:r>
        <w:t>m</w:t>
      </w:r>
      <w:r w:rsidR="0018469C">
        <w:t xml:space="preserve"> compared to the 500</w:t>
      </w:r>
      <w:r w:rsidR="00F4218E">
        <w:t> </w:t>
      </w:r>
      <w:r w:rsidR="0018469C">
        <w:t>mm option</w:t>
      </w:r>
    </w:p>
    <w:p w14:paraId="2EF84B42" w14:textId="55CFEBAE" w:rsidR="00054A28" w:rsidRDefault="00054A28" w:rsidP="00B32E83">
      <w:pPr>
        <w:pStyle w:val="BodyBullet1"/>
      </w:pPr>
      <w:r w:rsidRPr="00054A28">
        <w:t>Deep Creek</w:t>
      </w:r>
      <w:r>
        <w:t xml:space="preserve">, where the construction </w:t>
      </w:r>
      <w:r w:rsidR="00534742">
        <w:t xml:space="preserve">corridor </w:t>
      </w:r>
      <w:r>
        <w:t xml:space="preserve">would extend </w:t>
      </w:r>
      <w:r w:rsidR="00534742">
        <w:t>by approximately 30</w:t>
      </w:r>
      <w:r w:rsidR="00F4218E">
        <w:t> </w:t>
      </w:r>
      <w:r w:rsidR="00534742">
        <w:t xml:space="preserve">m </w:t>
      </w:r>
      <w:r>
        <w:t>on the eastern side across Wildwood Road</w:t>
      </w:r>
      <w:r w:rsidR="0018469C">
        <w:t xml:space="preserve"> compared to the 500</w:t>
      </w:r>
      <w:r w:rsidR="00F4218E">
        <w:t> </w:t>
      </w:r>
      <w:r w:rsidR="0018469C">
        <w:t>mm option</w:t>
      </w:r>
      <w:r w:rsidR="000B5B48" w:rsidRPr="000B5B48">
        <w:t>.</w:t>
      </w:r>
    </w:p>
    <w:p w14:paraId="29F7A59A" w14:textId="70126AB4" w:rsidR="00054A28" w:rsidRPr="00054A28" w:rsidRDefault="00054A28" w:rsidP="00B32E83">
      <w:pPr>
        <w:pStyle w:val="BodyText"/>
      </w:pPr>
      <w:r>
        <w:t xml:space="preserve">The physical differences between the </w:t>
      </w:r>
      <w:r w:rsidRPr="00054A28">
        <w:t>600</w:t>
      </w:r>
      <w:r w:rsidR="00F4218E">
        <w:t> </w:t>
      </w:r>
      <w:r w:rsidRPr="00054A28">
        <w:t>mm diameter pipeline design and 500</w:t>
      </w:r>
      <w:r w:rsidR="00F4218E">
        <w:t> </w:t>
      </w:r>
      <w:r w:rsidRPr="00054A28">
        <w:t xml:space="preserve">mm diameter pipeline alternative </w:t>
      </w:r>
      <w:r>
        <w:t xml:space="preserve">options are summarised in </w:t>
      </w:r>
      <w:r w:rsidR="007152F9">
        <w:fldChar w:fldCharType="begin"/>
      </w:r>
      <w:r w:rsidR="007152F9">
        <w:instrText xml:space="preserve"> REF _Ref66304440 \h </w:instrText>
      </w:r>
      <w:r w:rsidR="00534742">
        <w:instrText xml:space="preserve"> \* MERGEFORMAT </w:instrText>
      </w:r>
      <w:r w:rsidR="007152F9">
        <w:fldChar w:fldCharType="separate"/>
      </w:r>
      <w:r w:rsidR="00BA1E56">
        <w:t>Table 3</w:t>
      </w:r>
      <w:r w:rsidR="00BA1E56">
        <w:noBreakHyphen/>
        <w:t>4</w:t>
      </w:r>
      <w:r w:rsidR="007152F9">
        <w:fldChar w:fldCharType="end"/>
      </w:r>
      <w:r>
        <w:t>.</w:t>
      </w:r>
      <w:r w:rsidRPr="00054A28">
        <w:t xml:space="preserve"> </w:t>
      </w:r>
    </w:p>
    <w:p w14:paraId="03F0D0C7" w14:textId="0993432F" w:rsidR="00054A28" w:rsidRPr="00054A28" w:rsidRDefault="00054A28" w:rsidP="00B32E83">
      <w:pPr>
        <w:pStyle w:val="BodyText"/>
      </w:pPr>
      <w:r>
        <w:t>A slightly deeper and wider trench would be required to accommodate the 600</w:t>
      </w:r>
      <w:r w:rsidR="00F4218E">
        <w:t> </w:t>
      </w:r>
      <w:r>
        <w:t>mm diameter pipeline design. There would be no</w:t>
      </w:r>
      <w:r w:rsidRPr="00054A28">
        <w:t xml:space="preserve"> </w:t>
      </w:r>
      <w:r>
        <w:t xml:space="preserve">difference </w:t>
      </w:r>
      <w:r w:rsidRPr="00054A28">
        <w:t xml:space="preserve">in </w:t>
      </w:r>
      <w:r>
        <w:t xml:space="preserve">construction </w:t>
      </w:r>
      <w:r w:rsidRPr="00054A28">
        <w:t>equipment or duration of activities</w:t>
      </w:r>
      <w:r>
        <w:t xml:space="preserve"> between the 600</w:t>
      </w:r>
      <w:r w:rsidR="00F4218E">
        <w:t> </w:t>
      </w:r>
      <w:r>
        <w:t>mm diameter pipeline design and 500</w:t>
      </w:r>
      <w:r w:rsidR="00F4218E">
        <w:t> </w:t>
      </w:r>
      <w:r>
        <w:t xml:space="preserve">mm diameter pipeline alternative scenarios. </w:t>
      </w:r>
    </w:p>
    <w:p w14:paraId="02ED95C9" w14:textId="382B396D" w:rsidR="00054A28" w:rsidRDefault="00534742">
      <w:pPr>
        <w:pStyle w:val="BodyText"/>
      </w:pPr>
      <w:r>
        <w:t>The</w:t>
      </w:r>
      <w:r w:rsidR="00054A28" w:rsidRPr="00054A28">
        <w:t xml:space="preserve"> 600</w:t>
      </w:r>
      <w:r w:rsidR="00F4218E">
        <w:t> </w:t>
      </w:r>
      <w:r w:rsidR="00054A28" w:rsidRPr="00054A28">
        <w:t xml:space="preserve">mm diameter pipeline design </w:t>
      </w:r>
      <w:r>
        <w:t xml:space="preserve">has been </w:t>
      </w:r>
      <w:r w:rsidR="00054A28" w:rsidRPr="00054A28">
        <w:t xml:space="preserve">assessed </w:t>
      </w:r>
      <w:r>
        <w:t xml:space="preserve">in the </w:t>
      </w:r>
      <w:r w:rsidR="00054A28" w:rsidRPr="00054A28">
        <w:t>EES</w:t>
      </w:r>
      <w:r>
        <w:t xml:space="preserve"> as this would be the slightly </w:t>
      </w:r>
      <w:r w:rsidR="0018469C">
        <w:t>extended impact compared to the 500</w:t>
      </w:r>
      <w:r w:rsidR="00F4218E">
        <w:t> </w:t>
      </w:r>
      <w:r w:rsidR="0018469C">
        <w:t>mm option</w:t>
      </w:r>
      <w:r w:rsidR="00054A28" w:rsidRPr="00054A28">
        <w:t>.</w:t>
      </w:r>
    </w:p>
    <w:p w14:paraId="56071E8C" w14:textId="05322BF7" w:rsidR="007152F9" w:rsidRDefault="007152F9" w:rsidP="007152F9">
      <w:pPr>
        <w:pStyle w:val="Caption"/>
      </w:pPr>
      <w:bookmarkStart w:id="66" w:name="_Ref66304440"/>
      <w:r>
        <w:t xml:space="preserve">Table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9156F0">
        <w:noBreakHyphen/>
      </w:r>
      <w:r w:rsidR="00D21058">
        <w:fldChar w:fldCharType="begin"/>
      </w:r>
      <w:r w:rsidR="00D21058">
        <w:instrText xml:space="preserve"> SEQ Table \* ARABIC \s 1 </w:instrText>
      </w:r>
      <w:r w:rsidR="00D21058">
        <w:fldChar w:fldCharType="separate"/>
      </w:r>
      <w:r w:rsidR="00BA1E56">
        <w:rPr>
          <w:noProof/>
        </w:rPr>
        <w:t>4</w:t>
      </w:r>
      <w:r w:rsidR="00D21058">
        <w:rPr>
          <w:noProof/>
        </w:rPr>
        <w:fldChar w:fldCharType="end"/>
      </w:r>
      <w:bookmarkEnd w:id="66"/>
      <w:r w:rsidRPr="00FF6554">
        <w:tab/>
      </w:r>
      <w:r w:rsidR="0018469C">
        <w:t>Pipeline design f</w:t>
      </w:r>
      <w:r>
        <w:t xml:space="preserve">actors </w:t>
      </w:r>
      <w:r w:rsidR="00F4218E">
        <w:t>–</w:t>
      </w:r>
      <w:r>
        <w:t xml:space="preserve"> </w:t>
      </w:r>
      <w:r w:rsidR="0018469C">
        <w:t>500</w:t>
      </w:r>
      <w:r w:rsidR="00F4218E">
        <w:t> </w:t>
      </w:r>
      <w:r w:rsidR="0018469C">
        <w:t xml:space="preserve">mm </w:t>
      </w:r>
      <w:r>
        <w:t xml:space="preserve">and </w:t>
      </w:r>
      <w:r w:rsidR="0018469C">
        <w:t>600</w:t>
      </w:r>
      <w:r w:rsidR="00F4218E">
        <w:t> </w:t>
      </w:r>
      <w:r w:rsidR="0018469C">
        <w:t>mm</w:t>
      </w:r>
    </w:p>
    <w:tbl>
      <w:tblPr>
        <w:tblStyle w:val="MainTableStyle"/>
        <w:tblW w:w="5000" w:type="pct"/>
        <w:tblLook w:val="0420" w:firstRow="1" w:lastRow="0" w:firstColumn="0" w:lastColumn="0" w:noHBand="0" w:noVBand="1"/>
      </w:tblPr>
      <w:tblGrid>
        <w:gridCol w:w="5550"/>
        <w:gridCol w:w="1756"/>
        <w:gridCol w:w="1754"/>
      </w:tblGrid>
      <w:tr w:rsidR="007152F9" w:rsidRPr="0018469C" w14:paraId="52E94FD8" w14:textId="77777777" w:rsidTr="00F4218E">
        <w:trPr>
          <w:cnfStyle w:val="100000000000" w:firstRow="1" w:lastRow="0" w:firstColumn="0" w:lastColumn="0" w:oddVBand="0" w:evenVBand="0" w:oddHBand="0" w:evenHBand="0" w:firstRowFirstColumn="0" w:firstRowLastColumn="0" w:lastRowFirstColumn="0" w:lastRowLastColumn="0"/>
        </w:trPr>
        <w:tc>
          <w:tcPr>
            <w:tcW w:w="3063" w:type="pct"/>
          </w:tcPr>
          <w:p w14:paraId="6A2BCEED" w14:textId="04872A84" w:rsidR="007152F9" w:rsidRPr="0018469C" w:rsidRDefault="0018469C" w:rsidP="0018469C">
            <w:pPr>
              <w:pStyle w:val="TableText"/>
              <w:rPr>
                <w:rStyle w:val="Bold"/>
                <w:b w:val="0"/>
              </w:rPr>
            </w:pPr>
            <w:r>
              <w:rPr>
                <w:rStyle w:val="Bold"/>
              </w:rPr>
              <w:t>Pipeline design factors</w:t>
            </w:r>
          </w:p>
        </w:tc>
        <w:tc>
          <w:tcPr>
            <w:tcW w:w="969" w:type="pct"/>
          </w:tcPr>
          <w:p w14:paraId="2DAE53C8" w14:textId="094FC45C" w:rsidR="007152F9" w:rsidRPr="0018469C" w:rsidRDefault="007152F9" w:rsidP="00F4218E">
            <w:pPr>
              <w:pStyle w:val="TableText"/>
              <w:jc w:val="center"/>
              <w:rPr>
                <w:rStyle w:val="Bold"/>
                <w:b w:val="0"/>
              </w:rPr>
            </w:pPr>
            <w:r w:rsidRPr="0018469C">
              <w:rPr>
                <w:rStyle w:val="Bold"/>
                <w:b w:val="0"/>
              </w:rPr>
              <w:t>DN600</w:t>
            </w:r>
          </w:p>
        </w:tc>
        <w:tc>
          <w:tcPr>
            <w:tcW w:w="969" w:type="pct"/>
          </w:tcPr>
          <w:p w14:paraId="13D0F8E6" w14:textId="11ADC157" w:rsidR="007152F9" w:rsidRPr="0018469C" w:rsidRDefault="007152F9" w:rsidP="00F4218E">
            <w:pPr>
              <w:pStyle w:val="TableText"/>
              <w:jc w:val="center"/>
              <w:rPr>
                <w:rStyle w:val="Bold"/>
                <w:b w:val="0"/>
              </w:rPr>
            </w:pPr>
            <w:r w:rsidRPr="0018469C">
              <w:rPr>
                <w:rStyle w:val="Bold"/>
                <w:b w:val="0"/>
              </w:rPr>
              <w:t>DN500</w:t>
            </w:r>
          </w:p>
        </w:tc>
      </w:tr>
      <w:tr w:rsidR="007152F9" w:rsidRPr="0018469C" w14:paraId="1586F71E" w14:textId="77777777" w:rsidTr="00F4218E">
        <w:trPr>
          <w:cantSplit/>
        </w:trPr>
        <w:tc>
          <w:tcPr>
            <w:tcW w:w="3063" w:type="pct"/>
            <w:vAlign w:val="center"/>
          </w:tcPr>
          <w:p w14:paraId="5BA8E576" w14:textId="6E103E05" w:rsidR="007152F9" w:rsidRPr="0018469C" w:rsidRDefault="007152F9" w:rsidP="0018469C">
            <w:pPr>
              <w:pStyle w:val="TableText"/>
            </w:pPr>
            <w:r w:rsidRPr="0018469C">
              <w:t>Pipe size (mm)</w:t>
            </w:r>
          </w:p>
        </w:tc>
        <w:tc>
          <w:tcPr>
            <w:tcW w:w="969" w:type="pct"/>
            <w:vAlign w:val="center"/>
          </w:tcPr>
          <w:p w14:paraId="7977D175" w14:textId="002829ED" w:rsidR="007152F9" w:rsidRPr="0018469C" w:rsidRDefault="007152F9" w:rsidP="00F4218E">
            <w:pPr>
              <w:pStyle w:val="TableText"/>
              <w:jc w:val="center"/>
            </w:pPr>
            <w:r w:rsidRPr="0018469C">
              <w:t>610</w:t>
            </w:r>
          </w:p>
        </w:tc>
        <w:tc>
          <w:tcPr>
            <w:tcW w:w="969" w:type="pct"/>
            <w:vAlign w:val="center"/>
          </w:tcPr>
          <w:p w14:paraId="235BD855" w14:textId="1FDD0FFD" w:rsidR="007152F9" w:rsidRPr="0018469C" w:rsidRDefault="007152F9" w:rsidP="00F4218E">
            <w:pPr>
              <w:pStyle w:val="TableText"/>
              <w:jc w:val="center"/>
            </w:pPr>
            <w:r w:rsidRPr="0018469C">
              <w:t>508</w:t>
            </w:r>
          </w:p>
        </w:tc>
      </w:tr>
      <w:tr w:rsidR="007152F9" w:rsidRPr="0018469C" w14:paraId="7B331E0F" w14:textId="77777777" w:rsidTr="00F4218E">
        <w:trPr>
          <w:cantSplit/>
        </w:trPr>
        <w:tc>
          <w:tcPr>
            <w:tcW w:w="3063" w:type="pct"/>
            <w:vAlign w:val="center"/>
          </w:tcPr>
          <w:p w14:paraId="0DBE8BD2" w14:textId="7EBB1ACD" w:rsidR="007152F9" w:rsidRPr="0018469C" w:rsidRDefault="007152F9" w:rsidP="0018469C">
            <w:pPr>
              <w:pStyle w:val="TableText"/>
            </w:pPr>
            <w:r w:rsidRPr="0018469C">
              <w:t>Wall thickness (mm)</w:t>
            </w:r>
          </w:p>
        </w:tc>
        <w:tc>
          <w:tcPr>
            <w:tcW w:w="969" w:type="pct"/>
            <w:vAlign w:val="center"/>
          </w:tcPr>
          <w:p w14:paraId="6206ADFC" w14:textId="6B00140B" w:rsidR="007152F9" w:rsidRPr="0018469C" w:rsidRDefault="007152F9" w:rsidP="00F4218E">
            <w:pPr>
              <w:pStyle w:val="TableText"/>
              <w:jc w:val="center"/>
              <w:rPr>
                <w:rStyle w:val="Bold"/>
                <w:b w:val="0"/>
              </w:rPr>
            </w:pPr>
            <w:r w:rsidRPr="0018469C">
              <w:t>13.4</w:t>
            </w:r>
          </w:p>
        </w:tc>
        <w:tc>
          <w:tcPr>
            <w:tcW w:w="969" w:type="pct"/>
            <w:vAlign w:val="center"/>
          </w:tcPr>
          <w:p w14:paraId="354D8D51" w14:textId="7D0DE7A6" w:rsidR="007152F9" w:rsidRPr="0018469C" w:rsidRDefault="007152F9" w:rsidP="00F4218E">
            <w:pPr>
              <w:pStyle w:val="TableText"/>
              <w:jc w:val="center"/>
              <w:rPr>
                <w:rStyle w:val="Bold"/>
                <w:b w:val="0"/>
              </w:rPr>
            </w:pPr>
            <w:r w:rsidRPr="0018469C">
              <w:t>12.7</w:t>
            </w:r>
          </w:p>
        </w:tc>
      </w:tr>
      <w:tr w:rsidR="007152F9" w:rsidRPr="0018469C" w14:paraId="449FC687" w14:textId="77777777" w:rsidTr="00F4218E">
        <w:trPr>
          <w:cantSplit/>
        </w:trPr>
        <w:tc>
          <w:tcPr>
            <w:tcW w:w="3063" w:type="pct"/>
            <w:vAlign w:val="center"/>
          </w:tcPr>
          <w:p w14:paraId="5C68F4A6" w14:textId="197CBCAD" w:rsidR="007152F9" w:rsidRPr="0018469C" w:rsidRDefault="007152F9" w:rsidP="0018469C">
            <w:pPr>
              <w:pStyle w:val="TableText"/>
            </w:pPr>
            <w:r w:rsidRPr="0018469C">
              <w:t>Grade</w:t>
            </w:r>
          </w:p>
        </w:tc>
        <w:tc>
          <w:tcPr>
            <w:tcW w:w="969" w:type="pct"/>
            <w:vAlign w:val="center"/>
          </w:tcPr>
          <w:p w14:paraId="417E72F9" w14:textId="615EE594" w:rsidR="007152F9" w:rsidRPr="0018469C" w:rsidRDefault="007152F9" w:rsidP="00F4218E">
            <w:pPr>
              <w:pStyle w:val="TableText"/>
              <w:jc w:val="center"/>
              <w:rPr>
                <w:rStyle w:val="Bold"/>
                <w:b w:val="0"/>
              </w:rPr>
            </w:pPr>
            <w:r w:rsidRPr="0018469C">
              <w:t>X52</w:t>
            </w:r>
          </w:p>
        </w:tc>
        <w:tc>
          <w:tcPr>
            <w:tcW w:w="969" w:type="pct"/>
            <w:vAlign w:val="center"/>
          </w:tcPr>
          <w:p w14:paraId="2B0D9F2A" w14:textId="109A4977" w:rsidR="007152F9" w:rsidRPr="0018469C" w:rsidRDefault="007152F9" w:rsidP="00F4218E">
            <w:pPr>
              <w:pStyle w:val="TableText"/>
              <w:jc w:val="center"/>
              <w:rPr>
                <w:rStyle w:val="Bold"/>
                <w:b w:val="0"/>
              </w:rPr>
            </w:pPr>
            <w:r w:rsidRPr="0018469C">
              <w:t>X52</w:t>
            </w:r>
          </w:p>
        </w:tc>
      </w:tr>
      <w:tr w:rsidR="007152F9" w:rsidRPr="0018469C" w14:paraId="022D4D46" w14:textId="77777777" w:rsidTr="00F4218E">
        <w:trPr>
          <w:cantSplit/>
        </w:trPr>
        <w:tc>
          <w:tcPr>
            <w:tcW w:w="3063" w:type="pct"/>
            <w:vAlign w:val="center"/>
          </w:tcPr>
          <w:p w14:paraId="2B695005" w14:textId="0A0126E3" w:rsidR="007152F9" w:rsidRPr="0018469C" w:rsidRDefault="007152F9" w:rsidP="0018469C">
            <w:pPr>
              <w:pStyle w:val="TableText"/>
            </w:pPr>
            <w:r w:rsidRPr="0018469C">
              <w:t>kg/m</w:t>
            </w:r>
          </w:p>
        </w:tc>
        <w:tc>
          <w:tcPr>
            <w:tcW w:w="969" w:type="pct"/>
            <w:vAlign w:val="center"/>
          </w:tcPr>
          <w:p w14:paraId="022FAB62" w14:textId="6754F88E" w:rsidR="007152F9" w:rsidRPr="0018469C" w:rsidRDefault="007152F9" w:rsidP="00F4218E">
            <w:pPr>
              <w:pStyle w:val="TableText"/>
              <w:jc w:val="center"/>
              <w:rPr>
                <w:rStyle w:val="Bold"/>
                <w:b w:val="0"/>
              </w:rPr>
            </w:pPr>
            <w:r w:rsidRPr="0018469C">
              <w:t>197.14</w:t>
            </w:r>
          </w:p>
        </w:tc>
        <w:tc>
          <w:tcPr>
            <w:tcW w:w="969" w:type="pct"/>
            <w:vAlign w:val="center"/>
          </w:tcPr>
          <w:p w14:paraId="79CE80BA" w14:textId="41D04C02" w:rsidR="007152F9" w:rsidRPr="0018469C" w:rsidRDefault="007152F9" w:rsidP="00F4218E">
            <w:pPr>
              <w:pStyle w:val="TableText"/>
              <w:jc w:val="center"/>
              <w:rPr>
                <w:rStyle w:val="Bold"/>
                <w:b w:val="0"/>
              </w:rPr>
            </w:pPr>
            <w:r w:rsidRPr="0018469C">
              <w:t>155.12</w:t>
            </w:r>
          </w:p>
        </w:tc>
      </w:tr>
      <w:tr w:rsidR="007152F9" w:rsidRPr="0018469C" w14:paraId="469C8509" w14:textId="77777777" w:rsidTr="00F4218E">
        <w:trPr>
          <w:cantSplit/>
        </w:trPr>
        <w:tc>
          <w:tcPr>
            <w:tcW w:w="3063" w:type="pct"/>
            <w:vAlign w:val="center"/>
          </w:tcPr>
          <w:p w14:paraId="30153CC9" w14:textId="77402C43" w:rsidR="007152F9" w:rsidRPr="0018469C" w:rsidRDefault="007152F9" w:rsidP="0018469C">
            <w:pPr>
              <w:pStyle w:val="TableText"/>
            </w:pPr>
            <w:r w:rsidRPr="0018469C">
              <w:t>Length (km)</w:t>
            </w:r>
          </w:p>
        </w:tc>
        <w:tc>
          <w:tcPr>
            <w:tcW w:w="969" w:type="pct"/>
            <w:vAlign w:val="center"/>
          </w:tcPr>
          <w:p w14:paraId="39C9AC95" w14:textId="6F00BC32" w:rsidR="007152F9" w:rsidRPr="0018469C" w:rsidRDefault="007152F9" w:rsidP="00F4218E">
            <w:pPr>
              <w:pStyle w:val="TableText"/>
              <w:jc w:val="center"/>
              <w:rPr>
                <w:rStyle w:val="Bold"/>
                <w:b w:val="0"/>
              </w:rPr>
            </w:pPr>
            <w:r w:rsidRPr="0018469C">
              <w:t>51</w:t>
            </w:r>
          </w:p>
        </w:tc>
        <w:tc>
          <w:tcPr>
            <w:tcW w:w="969" w:type="pct"/>
            <w:vAlign w:val="center"/>
          </w:tcPr>
          <w:p w14:paraId="08EEA780" w14:textId="0A40B158" w:rsidR="007152F9" w:rsidRPr="0018469C" w:rsidRDefault="007152F9" w:rsidP="00F4218E">
            <w:pPr>
              <w:pStyle w:val="TableText"/>
              <w:jc w:val="center"/>
              <w:rPr>
                <w:rStyle w:val="Bold"/>
                <w:b w:val="0"/>
              </w:rPr>
            </w:pPr>
            <w:r w:rsidRPr="0018469C">
              <w:t>51</w:t>
            </w:r>
          </w:p>
        </w:tc>
      </w:tr>
    </w:tbl>
    <w:p w14:paraId="199BFCC4" w14:textId="77777777" w:rsidR="00F4218E" w:rsidRDefault="00F4218E" w:rsidP="00F4218E">
      <w:pPr>
        <w:pStyle w:val="Source"/>
      </w:pPr>
      <w:bookmarkStart w:id="67" w:name="_Toc62758927"/>
    </w:p>
    <w:p w14:paraId="400D88E4" w14:textId="6576CCCF" w:rsidR="00E358D2" w:rsidRDefault="00E358D2" w:rsidP="00B32E83">
      <w:pPr>
        <w:pStyle w:val="Heading3"/>
      </w:pPr>
      <w:bookmarkStart w:id="68" w:name="_Toc71242079"/>
      <w:bookmarkStart w:id="69" w:name="_Toc72198645"/>
      <w:r>
        <w:t>Compressor technology</w:t>
      </w:r>
      <w:r w:rsidR="006D77E4">
        <w:t xml:space="preserve"> </w:t>
      </w:r>
      <w:r w:rsidR="00FA03DF">
        <w:t xml:space="preserve">and </w:t>
      </w:r>
      <w:r w:rsidR="00D66414">
        <w:t>e</w:t>
      </w:r>
      <w:r w:rsidR="00FA03DF">
        <w:t xml:space="preserve">ngine </w:t>
      </w:r>
      <w:r w:rsidR="00D66414">
        <w:t>a</w:t>
      </w:r>
      <w:r w:rsidR="00FA03DF">
        <w:t>lternator</w:t>
      </w:r>
      <w:r w:rsidR="00D66414">
        <w:t>s</w:t>
      </w:r>
      <w:r w:rsidR="001D3D7D">
        <w:t xml:space="preserve"> at Wollert Compressor Station</w:t>
      </w:r>
      <w:bookmarkEnd w:id="67"/>
      <w:bookmarkEnd w:id="68"/>
      <w:bookmarkEnd w:id="69"/>
    </w:p>
    <w:p w14:paraId="2EA5B7D4" w14:textId="1F1B0007" w:rsidR="005B3B0D" w:rsidRPr="005B3B0D" w:rsidRDefault="005B3B0D" w:rsidP="005B3B0D">
      <w:pPr>
        <w:pStyle w:val="BodyText"/>
      </w:pPr>
      <w:r w:rsidRPr="005B3B0D">
        <w:t xml:space="preserve">The compressor selection is based on the required compression power requirements for the </w:t>
      </w:r>
      <w:r w:rsidR="005518AC">
        <w:t>P</w:t>
      </w:r>
      <w:r w:rsidRPr="005B3B0D">
        <w:t xml:space="preserve">roject. When compared to steam-turbines and diesel propulsion systems, the Solar Centaur 50 Gas Turbine </w:t>
      </w:r>
      <w:r>
        <w:t>(</w:t>
      </w:r>
      <w:r w:rsidRPr="005B3B0D">
        <w:t>GTC</w:t>
      </w:r>
      <w:r>
        <w:t>)</w:t>
      </w:r>
      <w:r w:rsidRPr="005B3B0D">
        <w:t xml:space="preserve"> offers greater power for a given size and weight, high reliability, long life, and offers a more convenient operation. </w:t>
      </w:r>
    </w:p>
    <w:p w14:paraId="2689FCEF" w14:textId="6B3FB32F" w:rsidR="005B3B0D" w:rsidRPr="005B3B0D" w:rsidRDefault="005B3B0D" w:rsidP="005B3B0D">
      <w:pPr>
        <w:pStyle w:val="BodyText"/>
      </w:pPr>
      <w:r w:rsidRPr="005B3B0D">
        <w:t>No two vendors will produce identical machines for direct comparison of power output vs thermal efficiency. However, the thermal efficiency of the selected GTC is considered industry best practice and it is also within the typical Simple Open Brayton Cycle operating envelopes for gas turbines. It is representative of a best practice, effective and efficient compression equipment for a typical long-distance gas pipeline. Solar Turbines is a reputable international company with a long history of supply, service and overhaul of gas compression and gas turbine equipment in Australia</w:t>
      </w:r>
      <w:r w:rsidR="005518AC">
        <w:t>.</w:t>
      </w:r>
    </w:p>
    <w:p w14:paraId="3BE29C62" w14:textId="3D548AAF" w:rsidR="00236E8C" w:rsidRPr="00236E8C" w:rsidRDefault="00236E8C" w:rsidP="00236E8C">
      <w:pPr>
        <w:pStyle w:val="BodyText"/>
      </w:pPr>
      <w:r w:rsidRPr="00236E8C">
        <w:lastRenderedPageBreak/>
        <w:t xml:space="preserve">The design development assessed </w:t>
      </w:r>
      <w:r w:rsidR="00C07B05">
        <w:t xml:space="preserve">the </w:t>
      </w:r>
      <w:r w:rsidR="00C07B05" w:rsidRPr="00C07B05">
        <w:t>GTC</w:t>
      </w:r>
      <w:r w:rsidR="005B3B0D">
        <w:t xml:space="preserve"> </w:t>
      </w:r>
      <w:r w:rsidR="00C07B05">
        <w:t xml:space="preserve">and </w:t>
      </w:r>
      <w:r w:rsidRPr="00236E8C">
        <w:t>an alternative electric drive compressor</w:t>
      </w:r>
      <w:r w:rsidR="00C07B05">
        <w:t xml:space="preserve"> </w:t>
      </w:r>
      <w:r>
        <w:t xml:space="preserve">for the new additional </w:t>
      </w:r>
      <w:r w:rsidR="006D77E4">
        <w:t xml:space="preserve">compressor </w:t>
      </w:r>
      <w:r>
        <w:t>unit</w:t>
      </w:r>
      <w:r w:rsidR="006D77E4">
        <w:t xml:space="preserve"> at Wollert</w:t>
      </w:r>
      <w:r w:rsidRPr="00236E8C">
        <w:t xml:space="preserve">. </w:t>
      </w:r>
      <w:r w:rsidR="00C07B05" w:rsidRPr="00C07B05">
        <w:t xml:space="preserve">The compressor </w:t>
      </w:r>
      <w:r w:rsidR="006D77E4">
        <w:t xml:space="preserve">option </w:t>
      </w:r>
      <w:r w:rsidR="00C07B05" w:rsidRPr="00C07B05">
        <w:t>selection</w:t>
      </w:r>
      <w:r w:rsidR="006D77E4">
        <w:t xml:space="preserve"> process</w:t>
      </w:r>
      <w:r w:rsidR="00C07B05" w:rsidRPr="00C07B05">
        <w:t xml:space="preserve"> </w:t>
      </w:r>
      <w:r w:rsidR="006D77E4">
        <w:t>considered</w:t>
      </w:r>
      <w:r w:rsidR="00C07B05" w:rsidRPr="00C07B05">
        <w:t xml:space="preserve"> the required compression power requirements for the </w:t>
      </w:r>
      <w:r w:rsidR="00534742">
        <w:t>P</w:t>
      </w:r>
      <w:r w:rsidR="00C07B05" w:rsidRPr="00C07B05">
        <w:t>roject</w:t>
      </w:r>
      <w:r w:rsidR="006D77E4">
        <w:t>, consistency with technical assessments already undertaken for the EES, environmental impacts relevant under the scoping requirements</w:t>
      </w:r>
      <w:r w:rsidR="00294B64">
        <w:t>, and both the development and ongoing costs</w:t>
      </w:r>
      <w:r w:rsidR="001D3D7D">
        <w:t>.</w:t>
      </w:r>
      <w:r w:rsidRPr="00236E8C">
        <w:t xml:space="preserve"> </w:t>
      </w:r>
    </w:p>
    <w:p w14:paraId="518A9BC2" w14:textId="6F59381C" w:rsidR="00021907" w:rsidRPr="001D3D7D" w:rsidRDefault="00021907" w:rsidP="001D3D7D">
      <w:pPr>
        <w:pStyle w:val="BodyText"/>
        <w:rPr>
          <w:rStyle w:val="Highlight"/>
          <w:shd w:val="clear" w:color="auto" w:fill="auto"/>
        </w:rPr>
      </w:pPr>
      <w:r w:rsidRPr="001D3D7D">
        <w:rPr>
          <w:rStyle w:val="Highlight"/>
          <w:shd w:val="clear" w:color="auto" w:fill="auto"/>
        </w:rPr>
        <w:t xml:space="preserve">When compared with the GTC, the </w:t>
      </w:r>
      <w:r w:rsidR="001D3D7D" w:rsidRPr="001D3D7D">
        <w:rPr>
          <w:rStyle w:val="Highlight"/>
          <w:shd w:val="clear" w:color="auto" w:fill="auto"/>
        </w:rPr>
        <w:t>electric drive option</w:t>
      </w:r>
      <w:r w:rsidRPr="001D3D7D">
        <w:rPr>
          <w:rStyle w:val="Highlight"/>
          <w:shd w:val="clear" w:color="auto" w:fill="auto"/>
        </w:rPr>
        <w:t xml:space="preserve"> had generally lower </w:t>
      </w:r>
      <w:r w:rsidR="006D77E4" w:rsidRPr="001D3D7D">
        <w:rPr>
          <w:rStyle w:val="Highlight"/>
          <w:shd w:val="clear" w:color="auto" w:fill="auto"/>
        </w:rPr>
        <w:t>air</w:t>
      </w:r>
      <w:r w:rsidRPr="001D3D7D">
        <w:rPr>
          <w:rStyle w:val="Highlight"/>
          <w:shd w:val="clear" w:color="auto" w:fill="auto"/>
        </w:rPr>
        <w:t xml:space="preserve"> emissions than the equivalent GTC. However, it required additional electrical infrastructure to support power to the equipment, including approximately 100 metres of overhead 66kV sub-transmission feeders </w:t>
      </w:r>
      <w:r w:rsidR="006D77E4" w:rsidRPr="001D3D7D">
        <w:rPr>
          <w:rStyle w:val="Highlight"/>
          <w:shd w:val="clear" w:color="auto" w:fill="auto"/>
        </w:rPr>
        <w:t xml:space="preserve">from Summerhill Road </w:t>
      </w:r>
      <w:r w:rsidRPr="001D3D7D">
        <w:rPr>
          <w:rStyle w:val="Highlight"/>
          <w:shd w:val="clear" w:color="auto" w:fill="auto"/>
        </w:rPr>
        <w:t>and support structures</w:t>
      </w:r>
      <w:r w:rsidR="006D77E4" w:rsidRPr="001D3D7D">
        <w:rPr>
          <w:rStyle w:val="Highlight"/>
          <w:shd w:val="clear" w:color="auto" w:fill="auto"/>
        </w:rPr>
        <w:t xml:space="preserve">, an </w:t>
      </w:r>
      <w:r w:rsidR="001D3D7D" w:rsidRPr="001D3D7D">
        <w:rPr>
          <w:rStyle w:val="Highlight"/>
          <w:shd w:val="clear" w:color="auto" w:fill="auto"/>
        </w:rPr>
        <w:t>electricity</w:t>
      </w:r>
      <w:r w:rsidR="006D77E4" w:rsidRPr="001D3D7D">
        <w:rPr>
          <w:rStyle w:val="Highlight"/>
          <w:shd w:val="clear" w:color="auto" w:fill="auto"/>
        </w:rPr>
        <w:t xml:space="preserve"> substation</w:t>
      </w:r>
      <w:r w:rsidR="001D3D7D" w:rsidRPr="001D3D7D">
        <w:rPr>
          <w:rStyle w:val="Highlight"/>
          <w:shd w:val="clear" w:color="auto" w:fill="auto"/>
        </w:rPr>
        <w:t>,</w:t>
      </w:r>
      <w:r w:rsidR="006D77E4" w:rsidRPr="001D3D7D">
        <w:rPr>
          <w:rStyle w:val="Highlight"/>
          <w:shd w:val="clear" w:color="auto" w:fill="auto"/>
        </w:rPr>
        <w:t xml:space="preserve"> a tr</w:t>
      </w:r>
      <w:r w:rsidR="006D77E4" w:rsidRPr="005B3B0D">
        <w:rPr>
          <w:rStyle w:val="Highlight"/>
          <w:shd w:val="clear" w:color="auto" w:fill="auto"/>
        </w:rPr>
        <w:t>ansformer at</w:t>
      </w:r>
      <w:r w:rsidR="006D77E4" w:rsidRPr="00294B64">
        <w:rPr>
          <w:rStyle w:val="Highlight"/>
          <w:shd w:val="clear" w:color="auto" w:fill="auto"/>
        </w:rPr>
        <w:t xml:space="preserve"> S</w:t>
      </w:r>
      <w:r w:rsidR="006D77E4" w:rsidRPr="0036430F">
        <w:rPr>
          <w:rStyle w:val="Highlight"/>
          <w:shd w:val="clear" w:color="auto" w:fill="auto"/>
        </w:rPr>
        <w:t>u</w:t>
      </w:r>
      <w:r w:rsidR="006D77E4" w:rsidRPr="00E36095">
        <w:rPr>
          <w:rStyle w:val="Highlight"/>
          <w:shd w:val="clear" w:color="auto" w:fill="auto"/>
        </w:rPr>
        <w:t>mmerhill Road</w:t>
      </w:r>
      <w:r w:rsidR="001D3D7D" w:rsidRPr="001D3D7D">
        <w:rPr>
          <w:rStyle w:val="Highlight"/>
          <w:shd w:val="clear" w:color="auto" w:fill="auto"/>
        </w:rPr>
        <w:t xml:space="preserve"> and underground cabling</w:t>
      </w:r>
      <w:r w:rsidRPr="001D3D7D">
        <w:rPr>
          <w:rStyle w:val="Highlight"/>
          <w:shd w:val="clear" w:color="auto" w:fill="auto"/>
        </w:rPr>
        <w:t>.</w:t>
      </w:r>
      <w:r w:rsidR="001D3D7D" w:rsidRPr="001D3D7D">
        <w:rPr>
          <w:rStyle w:val="Highlight"/>
          <w:shd w:val="clear" w:color="auto" w:fill="auto"/>
        </w:rPr>
        <w:t xml:space="preserve"> T</w:t>
      </w:r>
      <w:r w:rsidR="001D3D7D" w:rsidRPr="005B3B0D">
        <w:rPr>
          <w:rStyle w:val="Highlight"/>
          <w:shd w:val="clear" w:color="auto" w:fill="auto"/>
        </w:rPr>
        <w:t xml:space="preserve">he electric </w:t>
      </w:r>
      <w:r w:rsidR="001D3D7D" w:rsidRPr="00294B64">
        <w:rPr>
          <w:rStyle w:val="Highlight"/>
          <w:shd w:val="clear" w:color="auto" w:fill="auto"/>
        </w:rPr>
        <w:t>dr</w:t>
      </w:r>
      <w:r w:rsidR="001D3D7D" w:rsidRPr="0036430F">
        <w:rPr>
          <w:rStyle w:val="Highlight"/>
          <w:shd w:val="clear" w:color="auto" w:fill="auto"/>
        </w:rPr>
        <w:t>i</w:t>
      </w:r>
      <w:r w:rsidR="001D3D7D" w:rsidRPr="00E36095">
        <w:rPr>
          <w:rStyle w:val="Highlight"/>
          <w:shd w:val="clear" w:color="auto" w:fill="auto"/>
        </w:rPr>
        <w:t>ve option was also</w:t>
      </w:r>
      <w:r w:rsidR="001D3D7D" w:rsidRPr="001D3D7D">
        <w:rPr>
          <w:rStyle w:val="Highlight"/>
          <w:shd w:val="clear" w:color="auto" w:fill="auto"/>
        </w:rPr>
        <w:t xml:space="preserve"> predicted to generate higher noise emissions based on a qualitative assessment of the equipment involved.</w:t>
      </w:r>
    </w:p>
    <w:p w14:paraId="133FB628" w14:textId="0A9FACE6" w:rsidR="001D3D7D" w:rsidRPr="00C07B05" w:rsidRDefault="001D3D7D" w:rsidP="00C07B05">
      <w:pPr>
        <w:pStyle w:val="BodyText"/>
      </w:pPr>
      <w:r>
        <w:t xml:space="preserve">Based on the compression power requirements, efficiency, and potential environmental effects, the GTC technology was selected. </w:t>
      </w:r>
    </w:p>
    <w:p w14:paraId="16227248" w14:textId="4CCA7086" w:rsidR="005518AC" w:rsidRPr="002B5C6E" w:rsidRDefault="00FA03DF" w:rsidP="001943A9">
      <w:pPr>
        <w:pStyle w:val="BodyText"/>
      </w:pPr>
      <w:r w:rsidRPr="00FA03DF">
        <w:t>Diesel Engine Alternator</w:t>
      </w:r>
      <w:r>
        <w:t xml:space="preserve">s (DEA) and </w:t>
      </w:r>
      <w:r w:rsidRPr="00FA03DF">
        <w:t>Gas Engine Alternator</w:t>
      </w:r>
      <w:r>
        <w:t xml:space="preserve">s were </w:t>
      </w:r>
      <w:r w:rsidR="005B3B0D">
        <w:t xml:space="preserve">alternative technology options </w:t>
      </w:r>
      <w:r w:rsidRPr="00FA03DF">
        <w:t>considered for backup power supply. DEA</w:t>
      </w:r>
      <w:r>
        <w:t>s</w:t>
      </w:r>
      <w:r w:rsidR="00021907">
        <w:t xml:space="preserve"> were selected as </w:t>
      </w:r>
      <w:r>
        <w:t xml:space="preserve">the </w:t>
      </w:r>
      <w:r w:rsidRPr="00FA03DF">
        <w:t xml:space="preserve">better alternative due </w:t>
      </w:r>
      <w:r>
        <w:t xml:space="preserve">to </w:t>
      </w:r>
      <w:r w:rsidRPr="00FA03DF">
        <w:t xml:space="preserve">quicker instantaneous start up time, less maintenance issues and </w:t>
      </w:r>
      <w:r>
        <w:t xml:space="preserve">being </w:t>
      </w:r>
      <w:r w:rsidRPr="00FA03DF">
        <w:t>more cost effective.</w:t>
      </w:r>
      <w:r w:rsidR="00294B64">
        <w:t xml:space="preserve"> Both alternatives were considered in the EES air quality assessment (Technical report G Air quality). </w:t>
      </w:r>
    </w:p>
    <w:p w14:paraId="26AB5CF1" w14:textId="73800980" w:rsidR="0077678A" w:rsidRDefault="0077678A" w:rsidP="001943A9">
      <w:pPr>
        <w:pStyle w:val="Heading3"/>
      </w:pPr>
      <w:bookmarkStart w:id="70" w:name="_Toc71242080"/>
      <w:bookmarkStart w:id="71" w:name="_Toc72198646"/>
      <w:bookmarkStart w:id="72" w:name="_Ref66716324"/>
      <w:r>
        <w:t>Pipeline depth</w:t>
      </w:r>
      <w:bookmarkEnd w:id="70"/>
      <w:bookmarkEnd w:id="71"/>
    </w:p>
    <w:p w14:paraId="73D897D6" w14:textId="5BA27648" w:rsidR="00F83C7B" w:rsidRDefault="00F83C7B" w:rsidP="00F83C7B">
      <w:pPr>
        <w:pStyle w:val="BodyText"/>
      </w:pPr>
      <w:r w:rsidRPr="00F83C7B">
        <w:rPr>
          <w:lang w:eastAsia="en-AU"/>
        </w:rPr>
        <w:t>The minimum pipeline depth of cover along the pipeline alignment is selected based on the following factors and guidelines</w:t>
      </w:r>
      <w:r w:rsidRPr="00F83C7B">
        <w:t xml:space="preserve"> </w:t>
      </w:r>
    </w:p>
    <w:p w14:paraId="358AB182" w14:textId="5696D790" w:rsidR="00F83C7B" w:rsidRPr="00F83C7B" w:rsidRDefault="00F83C7B" w:rsidP="00F83C7B">
      <w:pPr>
        <w:pStyle w:val="BodyBullet1"/>
        <w:rPr>
          <w:lang w:eastAsia="en-AU"/>
        </w:rPr>
      </w:pPr>
      <w:r w:rsidRPr="00F83C7B">
        <w:rPr>
          <w:lang w:eastAsia="en-AU"/>
        </w:rPr>
        <w:t xml:space="preserve">Guidelines within AS/NZS2885.1:2018 </w:t>
      </w:r>
    </w:p>
    <w:p w14:paraId="24C8A3DE" w14:textId="22A66FB0" w:rsidR="00F83C7B" w:rsidRPr="00F83C7B" w:rsidRDefault="00F83C7B" w:rsidP="00F83C7B">
      <w:pPr>
        <w:pStyle w:val="BodyBullet1"/>
        <w:rPr>
          <w:lang w:eastAsia="en-AU"/>
        </w:rPr>
      </w:pPr>
      <w:r w:rsidRPr="00F83C7B">
        <w:rPr>
          <w:lang w:eastAsia="en-AU"/>
        </w:rPr>
        <w:t xml:space="preserve">Crossing </w:t>
      </w:r>
      <w:r>
        <w:t>r</w:t>
      </w:r>
      <w:r w:rsidRPr="00F83C7B">
        <w:rPr>
          <w:lang w:eastAsia="en-AU"/>
        </w:rPr>
        <w:t xml:space="preserve">equirements of </w:t>
      </w:r>
      <w:r>
        <w:t>l</w:t>
      </w:r>
      <w:r w:rsidRPr="00F83C7B">
        <w:rPr>
          <w:lang w:eastAsia="en-AU"/>
        </w:rPr>
        <w:t xml:space="preserve">ocal </w:t>
      </w:r>
      <w:r>
        <w:t>a</w:t>
      </w:r>
      <w:r w:rsidRPr="00F83C7B">
        <w:rPr>
          <w:lang w:eastAsia="en-AU"/>
        </w:rPr>
        <w:t xml:space="preserve">uthorities and </w:t>
      </w:r>
      <w:proofErr w:type="gramStart"/>
      <w:r>
        <w:t>t</w:t>
      </w:r>
      <w:r w:rsidRPr="00F83C7B">
        <w:rPr>
          <w:lang w:eastAsia="en-AU"/>
        </w:rPr>
        <w:t xml:space="preserve">hird </w:t>
      </w:r>
      <w:r>
        <w:t>p</w:t>
      </w:r>
      <w:r w:rsidRPr="00F83C7B">
        <w:rPr>
          <w:lang w:eastAsia="en-AU"/>
        </w:rPr>
        <w:t>arty</w:t>
      </w:r>
      <w:proofErr w:type="gramEnd"/>
      <w:r w:rsidRPr="00F83C7B">
        <w:rPr>
          <w:lang w:eastAsia="en-AU"/>
        </w:rPr>
        <w:t xml:space="preserve"> </w:t>
      </w:r>
      <w:r>
        <w:t>u</w:t>
      </w:r>
      <w:r w:rsidRPr="00F83C7B">
        <w:rPr>
          <w:lang w:eastAsia="en-AU"/>
        </w:rPr>
        <w:t>tility/</w:t>
      </w:r>
      <w:r>
        <w:t>a</w:t>
      </w:r>
      <w:r w:rsidRPr="00F83C7B">
        <w:rPr>
          <w:lang w:eastAsia="en-AU"/>
        </w:rPr>
        <w:t>sset owners</w:t>
      </w:r>
    </w:p>
    <w:p w14:paraId="404334BE" w14:textId="27932C73" w:rsidR="00F83C7B" w:rsidRPr="00F83C7B" w:rsidRDefault="00F83C7B" w:rsidP="00F83C7B">
      <w:pPr>
        <w:pStyle w:val="BodyBullet1"/>
        <w:rPr>
          <w:lang w:eastAsia="en-AU"/>
        </w:rPr>
      </w:pPr>
      <w:r w:rsidRPr="00F83C7B">
        <w:rPr>
          <w:lang w:eastAsia="en-AU"/>
        </w:rPr>
        <w:t>SMS study workshop outcome</w:t>
      </w:r>
      <w:r>
        <w:t>s</w:t>
      </w:r>
    </w:p>
    <w:p w14:paraId="6D4B4698" w14:textId="198BBE55" w:rsidR="00F83C7B" w:rsidRPr="00F83C7B" w:rsidRDefault="00F83C7B" w:rsidP="00F83C7B">
      <w:pPr>
        <w:pStyle w:val="BodyBullet1"/>
        <w:rPr>
          <w:lang w:eastAsia="en-AU"/>
        </w:rPr>
      </w:pPr>
      <w:r w:rsidRPr="00F83C7B">
        <w:rPr>
          <w:lang w:eastAsia="en-AU"/>
        </w:rPr>
        <w:t>Construction efficiency adjustments</w:t>
      </w:r>
      <w:r>
        <w:t>.</w:t>
      </w:r>
    </w:p>
    <w:p w14:paraId="13B49BA4" w14:textId="5D87A7DE" w:rsidR="00F83C7B" w:rsidRDefault="000E38E9" w:rsidP="00F83C7B">
      <w:pPr>
        <w:pStyle w:val="BodyText"/>
      </w:pPr>
      <w:r>
        <w:t>While the</w:t>
      </w:r>
      <w:r w:rsidR="0077678A" w:rsidRPr="0077678A">
        <w:t xml:space="preserve"> standard </w:t>
      </w:r>
      <w:r>
        <w:t>750 mm depth</w:t>
      </w:r>
      <w:r w:rsidR="0077678A" w:rsidRPr="0077678A">
        <w:t xml:space="preserve"> </w:t>
      </w:r>
      <w:r>
        <w:t xml:space="preserve">of cover would apply to most of the pipeline, </w:t>
      </w:r>
      <w:r w:rsidR="0077678A" w:rsidRPr="0077678A">
        <w:t>a</w:t>
      </w:r>
      <w:r>
        <w:t>n increased depth</w:t>
      </w:r>
      <w:r w:rsidR="0077678A" w:rsidRPr="0077678A">
        <w:t xml:space="preserve"> </w:t>
      </w:r>
      <w:r>
        <w:t xml:space="preserve">is provided beneath </w:t>
      </w:r>
      <w:r w:rsidR="00F83C7B">
        <w:t xml:space="preserve">major watercourses, </w:t>
      </w:r>
      <w:r>
        <w:t xml:space="preserve">road and rail crossings for protection of both the pipeline and </w:t>
      </w:r>
      <w:proofErr w:type="gramStart"/>
      <w:r w:rsidR="00F83C7B">
        <w:t>third party</w:t>
      </w:r>
      <w:proofErr w:type="gramEnd"/>
      <w:r>
        <w:t xml:space="preserve"> asset. The </w:t>
      </w:r>
      <w:r w:rsidR="00F83C7B">
        <w:t xml:space="preserve">minimum </w:t>
      </w:r>
      <w:r>
        <w:t xml:space="preserve">depth </w:t>
      </w:r>
      <w:r w:rsidR="00F83C7B">
        <w:t>would be selected based on</w:t>
      </w:r>
      <w:r w:rsidR="0077678A" w:rsidRPr="0077678A">
        <w:t xml:space="preserve"> consideration of </w:t>
      </w:r>
      <w:r w:rsidR="00F83C7B">
        <w:t>the above criteria</w:t>
      </w:r>
      <w:r w:rsidR="00F83C7B" w:rsidRPr="0077678A">
        <w:t xml:space="preserve"> </w:t>
      </w:r>
      <w:r w:rsidR="0077678A" w:rsidRPr="0077678A">
        <w:t xml:space="preserve">and </w:t>
      </w:r>
      <w:r>
        <w:t xml:space="preserve">engagement with </w:t>
      </w:r>
      <w:r w:rsidR="00F83C7B">
        <w:t xml:space="preserve">third party </w:t>
      </w:r>
      <w:r>
        <w:t xml:space="preserve">asset owners. </w:t>
      </w:r>
    </w:p>
    <w:p w14:paraId="613FE187" w14:textId="00D51A70" w:rsidR="006951C7" w:rsidRDefault="006951C7" w:rsidP="00F4218E">
      <w:pPr>
        <w:pStyle w:val="BodyText"/>
      </w:pPr>
      <w:r>
        <w:t>Where the pipeline crosses the OMR/E6 PAO, the following depth of cover would apply:</w:t>
      </w:r>
      <w:r w:rsidR="00563D40">
        <w:t xml:space="preserve"> </w:t>
      </w:r>
    </w:p>
    <w:p w14:paraId="05494E95" w14:textId="5D1C6C03" w:rsidR="006951C7" w:rsidRPr="00CB2ED2" w:rsidRDefault="004D6CAE" w:rsidP="006951C7">
      <w:pPr>
        <w:pStyle w:val="BodyBullet1"/>
      </w:pPr>
      <w:r>
        <w:t>R</w:t>
      </w:r>
      <w:r w:rsidRPr="004D6CAE">
        <w:t>ange from 1.2</w:t>
      </w:r>
      <w:r>
        <w:t xml:space="preserve"> </w:t>
      </w:r>
      <w:r w:rsidRPr="004D6CAE">
        <w:t>m</w:t>
      </w:r>
      <w:r>
        <w:t>etres</w:t>
      </w:r>
      <w:r w:rsidRPr="004D6CAE">
        <w:t xml:space="preserve"> to 5</w:t>
      </w:r>
      <w:r>
        <w:t xml:space="preserve"> </w:t>
      </w:r>
      <w:r w:rsidRPr="004D6CAE">
        <w:t>m</w:t>
      </w:r>
      <w:r>
        <w:t>etres</w:t>
      </w:r>
      <w:r w:rsidRPr="004D6CAE">
        <w:t xml:space="preserve"> from the surface level to the obvert level of the pipe</w:t>
      </w:r>
    </w:p>
    <w:p w14:paraId="3AA4F544" w14:textId="6691F352" w:rsidR="004D6CAE" w:rsidRPr="004D6CAE" w:rsidRDefault="004D6CAE" w:rsidP="004D6CAE">
      <w:pPr>
        <w:pStyle w:val="BodyBullet1"/>
      </w:pPr>
      <w:r w:rsidRPr="004D6CAE">
        <w:t>Depth requirements will be determined during detailed design with due consideration to location specific matters such as future transport and drainage infrastructure requirements.</w:t>
      </w:r>
    </w:p>
    <w:p w14:paraId="3EDFD895" w14:textId="73696390" w:rsidR="00822D71" w:rsidRDefault="00822D71" w:rsidP="00B03CB4">
      <w:pPr>
        <w:pStyle w:val="Heading3"/>
        <w:pageBreakBefore/>
      </w:pPr>
      <w:bookmarkStart w:id="73" w:name="_Toc62758928"/>
      <w:bookmarkStart w:id="74" w:name="_Toc71242081"/>
      <w:bookmarkStart w:id="75" w:name="_Toc72198647"/>
      <w:r>
        <w:lastRenderedPageBreak/>
        <w:t>Construction methodology</w:t>
      </w:r>
      <w:bookmarkEnd w:id="72"/>
      <w:bookmarkEnd w:id="73"/>
      <w:bookmarkEnd w:id="74"/>
      <w:bookmarkEnd w:id="75"/>
    </w:p>
    <w:p w14:paraId="7C40EEBF" w14:textId="41D78DB1" w:rsidR="00DB4374" w:rsidRDefault="00DB4374" w:rsidP="00B32E83">
      <w:pPr>
        <w:pStyle w:val="Heading4"/>
      </w:pPr>
      <w:bookmarkStart w:id="76" w:name="_Toc71242082"/>
      <w:bookmarkStart w:id="77" w:name="_Toc62758929"/>
      <w:r>
        <w:t>Construction corridor width</w:t>
      </w:r>
      <w:bookmarkEnd w:id="76"/>
    </w:p>
    <w:p w14:paraId="236F14C4" w14:textId="00FF987E" w:rsidR="00DB0A42" w:rsidRDefault="00DB0A42" w:rsidP="00DB4374">
      <w:pPr>
        <w:pStyle w:val="BodyText"/>
      </w:pPr>
      <w:r>
        <w:t xml:space="preserve">In some locations, the construction corridor width has been refined and/or reduced in response to localised considerations, </w:t>
      </w:r>
      <w:proofErr w:type="gramStart"/>
      <w:r>
        <w:t>in particular relating</w:t>
      </w:r>
      <w:proofErr w:type="gramEnd"/>
      <w:r>
        <w:t xml:space="preserve"> to biodiversity values. </w:t>
      </w:r>
    </w:p>
    <w:p w14:paraId="6889B80B" w14:textId="2C777CDE" w:rsidR="006E6508" w:rsidRDefault="006E6508" w:rsidP="00DB4374">
      <w:pPr>
        <w:pStyle w:val="BodyText"/>
      </w:pPr>
      <w:r>
        <w:t>The application of the standard 30 m wide construction corridor or a reduced width was confirmed following consideration of constructability</w:t>
      </w:r>
      <w:r w:rsidR="00FF0D94">
        <w:t xml:space="preserve"> and </w:t>
      </w:r>
      <w:r>
        <w:t>environmental benefit</w:t>
      </w:r>
      <w:r w:rsidR="00FF0D94">
        <w:t xml:space="preserve">. This was informed by workshopping with ecological specialists and APA design and construction teams. </w:t>
      </w:r>
    </w:p>
    <w:p w14:paraId="6DA02763" w14:textId="64DD07AD" w:rsidR="00DB4374" w:rsidRDefault="00DB4374" w:rsidP="00DB4374">
      <w:pPr>
        <w:pStyle w:val="BodyText"/>
      </w:pPr>
      <w:r>
        <w:t xml:space="preserve">Key locations where the construction corridor has been reduced </w:t>
      </w:r>
      <w:r w:rsidRPr="00A66DE6">
        <w:t xml:space="preserve">to </w:t>
      </w:r>
      <w:r>
        <w:t>avoid and minimise</w:t>
      </w:r>
      <w:r w:rsidRPr="00A66DE6">
        <w:t xml:space="preserve"> impact</w:t>
      </w:r>
      <w:r>
        <w:t>s</w:t>
      </w:r>
      <w:r w:rsidRPr="00A66DE6">
        <w:t xml:space="preserve"> on significant environmental values include</w:t>
      </w:r>
      <w:r>
        <w:t>:</w:t>
      </w:r>
    </w:p>
    <w:p w14:paraId="341400F2" w14:textId="3A92BB10" w:rsidR="00DB4374" w:rsidRDefault="00DB4374" w:rsidP="00DB4374">
      <w:pPr>
        <w:pStyle w:val="BodyBullet1"/>
      </w:pPr>
      <w:r>
        <w:t>Jackson</w:t>
      </w:r>
      <w:r w:rsidR="00D6282C">
        <w:t>s</w:t>
      </w:r>
      <w:r>
        <w:t xml:space="preserve"> Creek</w:t>
      </w:r>
      <w:r w:rsidR="003452FF">
        <w:t xml:space="preserve"> reduction from 30</w:t>
      </w:r>
      <w:r w:rsidR="00F4218E">
        <w:t> </w:t>
      </w:r>
      <w:r w:rsidR="003452FF">
        <w:t>m to 20</w:t>
      </w:r>
      <w:r w:rsidR="00F4218E">
        <w:t> </w:t>
      </w:r>
      <w:r w:rsidR="003452FF">
        <w:t>m</w:t>
      </w:r>
    </w:p>
    <w:p w14:paraId="7E7500AD" w14:textId="36329AE6" w:rsidR="00DB4374" w:rsidRDefault="00DB4374" w:rsidP="00DB4374">
      <w:pPr>
        <w:pStyle w:val="BodyBullet1"/>
      </w:pPr>
      <w:r>
        <w:t>Merri Creek</w:t>
      </w:r>
      <w:r w:rsidR="003452FF">
        <w:t xml:space="preserve"> reduction from 30</w:t>
      </w:r>
      <w:r w:rsidR="00F4218E">
        <w:t> </w:t>
      </w:r>
      <w:r w:rsidR="003452FF">
        <w:t>m to 2</w:t>
      </w:r>
      <w:r w:rsidR="004D7679">
        <w:t>5</w:t>
      </w:r>
      <w:r w:rsidR="00F4218E">
        <w:t> </w:t>
      </w:r>
      <w:r w:rsidR="003452FF">
        <w:t>m</w:t>
      </w:r>
    </w:p>
    <w:p w14:paraId="69A7F8F6" w14:textId="3948EBDC" w:rsidR="00DB4374" w:rsidRDefault="003452FF" w:rsidP="00DB4374">
      <w:pPr>
        <w:pStyle w:val="BodyBullet1"/>
      </w:pPr>
      <w:r>
        <w:t xml:space="preserve">Conservation Area 34a in the </w:t>
      </w:r>
      <w:r w:rsidR="00DB4374">
        <w:t>Northern Growth Corridor (</w:t>
      </w:r>
      <w:r w:rsidR="00DB4374" w:rsidRPr="00A66DE6">
        <w:t xml:space="preserve">KP 42.5 </w:t>
      </w:r>
      <w:r w:rsidR="00F4218E">
        <w:t>–</w:t>
      </w:r>
      <w:r w:rsidR="00DB4374" w:rsidRPr="00A66DE6">
        <w:t xml:space="preserve"> KP 43.3</w:t>
      </w:r>
      <w:r w:rsidR="00DB4374">
        <w:t>)</w:t>
      </w:r>
      <w:r w:rsidR="00B65735">
        <w:t xml:space="preserve"> reduction from 2.49</w:t>
      </w:r>
      <w:r w:rsidR="00F4218E">
        <w:t> </w:t>
      </w:r>
      <w:r w:rsidR="00B65735">
        <w:t>ha to 2.39</w:t>
      </w:r>
      <w:r w:rsidR="00F4218E">
        <w:t> </w:t>
      </w:r>
      <w:r w:rsidR="00B65735">
        <w:t>ha</w:t>
      </w:r>
    </w:p>
    <w:p w14:paraId="6C06E8FB" w14:textId="270EE791" w:rsidR="00DB4374" w:rsidRPr="0077678A" w:rsidRDefault="00DB4374" w:rsidP="00DB4374">
      <w:pPr>
        <w:pStyle w:val="BodyBullet1"/>
      </w:pPr>
      <w:r w:rsidRPr="0077678A">
        <w:t>KP</w:t>
      </w:r>
      <w:r w:rsidR="00D70D05">
        <w:t xml:space="preserve"> </w:t>
      </w:r>
      <w:r w:rsidRPr="0077678A">
        <w:t xml:space="preserve">23 area </w:t>
      </w:r>
      <w:r w:rsidR="00B65735">
        <w:t xml:space="preserve">micro-realignment </w:t>
      </w:r>
      <w:r w:rsidRPr="0077678A">
        <w:t xml:space="preserve">to avoid </w:t>
      </w:r>
      <w:r w:rsidR="00B65735">
        <w:t xml:space="preserve">several large trees and reduction of width </w:t>
      </w:r>
      <w:r w:rsidR="005852CD">
        <w:t>from 30</w:t>
      </w:r>
      <w:r w:rsidR="00F4218E">
        <w:t> </w:t>
      </w:r>
      <w:r w:rsidR="005852CD">
        <w:t>m to 25</w:t>
      </w:r>
      <w:r w:rsidR="00F4218E">
        <w:t> </w:t>
      </w:r>
      <w:r w:rsidR="005852CD">
        <w:t xml:space="preserve">m </w:t>
      </w:r>
      <w:r w:rsidR="00B65735">
        <w:t xml:space="preserve">to avoid </w:t>
      </w:r>
      <w:r w:rsidRPr="0077678A">
        <w:t>native vegetation impacts</w:t>
      </w:r>
    </w:p>
    <w:p w14:paraId="6024C970" w14:textId="0C7BAECE" w:rsidR="00DB4374" w:rsidRPr="0077678A" w:rsidRDefault="003452FF" w:rsidP="0077678A">
      <w:pPr>
        <w:pStyle w:val="BodyBullet1"/>
      </w:pPr>
      <w:r w:rsidRPr="0077678A">
        <w:t>Wollert Compressor Station r</w:t>
      </w:r>
      <w:r w:rsidR="00FB5F77" w:rsidRPr="0077678A">
        <w:t>eduction by 1.25</w:t>
      </w:r>
      <w:r w:rsidR="00F4218E">
        <w:t> </w:t>
      </w:r>
      <w:r w:rsidR="00FB5F77" w:rsidRPr="0077678A">
        <w:t xml:space="preserve">ha to avoid the population </w:t>
      </w:r>
      <w:r w:rsidRPr="0077678A">
        <w:t>of Tough Scurf-pea</w:t>
      </w:r>
    </w:p>
    <w:p w14:paraId="4E0093B9" w14:textId="1EA6B45F" w:rsidR="00FB5F77" w:rsidRPr="0077678A" w:rsidRDefault="003452FF" w:rsidP="00B03CB4">
      <w:pPr>
        <w:pStyle w:val="BodyBullet1"/>
        <w:ind w:right="-227"/>
      </w:pPr>
      <w:r w:rsidRPr="0077678A">
        <w:rPr>
          <w:rStyle w:val="Highlight"/>
          <w:shd w:val="clear" w:color="auto" w:fill="auto"/>
        </w:rPr>
        <w:t>Morefield Court (KP 11) by 0.20 ha containing</w:t>
      </w:r>
      <w:r w:rsidRPr="0077678A">
        <w:t xml:space="preserve"> known Striped Legless Lizard from 0.69</w:t>
      </w:r>
      <w:r w:rsidR="00F4218E">
        <w:t> </w:t>
      </w:r>
      <w:r w:rsidRPr="0077678A">
        <w:t>ha to 0.49</w:t>
      </w:r>
      <w:r w:rsidR="00F4218E">
        <w:t> </w:t>
      </w:r>
      <w:r w:rsidRPr="0077678A">
        <w:t>ha</w:t>
      </w:r>
    </w:p>
    <w:p w14:paraId="47E85818" w14:textId="5782FABA" w:rsidR="003452FF" w:rsidRDefault="003452FF" w:rsidP="00B03CB4">
      <w:pPr>
        <w:pStyle w:val="BodyBullet1"/>
        <w:ind w:right="-170"/>
      </w:pPr>
      <w:r w:rsidRPr="0077678A">
        <w:t xml:space="preserve">Eight parcels where Golden Sun Moth have been confirmed to occur (Calder Freeway road reserve, KP 8.7; Duncans Lane, KP 9.6; Sunbury Rd, KP 14.8; St Johns Road road reserve, KP 18.9; Oaklands Road, KP 21.6; Craigieburn Road, KP 22.6; 2LP130336, KP 51; 1PS733045, KP 22.6; North Eastern Line rail reserve, KP 41; Donnybrook Rd, KP 47) </w:t>
      </w:r>
      <w:r w:rsidR="00F4218E">
        <w:t>–</w:t>
      </w:r>
      <w:r w:rsidRPr="0077678A">
        <w:t xml:space="preserve"> reduction in width of 3.76</w:t>
      </w:r>
      <w:r w:rsidR="00F4218E">
        <w:t> </w:t>
      </w:r>
      <w:r w:rsidRPr="0077678A">
        <w:t>ha</w:t>
      </w:r>
      <w:r w:rsidR="0077678A">
        <w:t>.</w:t>
      </w:r>
    </w:p>
    <w:p w14:paraId="3B18F03E" w14:textId="01F777F1" w:rsidR="00AB6E37" w:rsidRDefault="00E90FA9" w:rsidP="001943A9">
      <w:pPr>
        <w:pStyle w:val="Heading4"/>
      </w:pPr>
      <w:bookmarkStart w:id="78" w:name="_Toc71242083"/>
      <w:r>
        <w:t>Trenched and trenchless construction</w:t>
      </w:r>
      <w:r w:rsidR="00AB6E37">
        <w:t xml:space="preserve"> methodology</w:t>
      </w:r>
      <w:bookmarkEnd w:id="77"/>
      <w:bookmarkEnd w:id="78"/>
      <w:r w:rsidR="00AB6E37">
        <w:t xml:space="preserve"> </w:t>
      </w:r>
    </w:p>
    <w:p w14:paraId="0A808A40" w14:textId="6667E715" w:rsidR="00822D71" w:rsidRDefault="00822D71" w:rsidP="00822D71">
      <w:pPr>
        <w:pStyle w:val="BodyText"/>
      </w:pPr>
      <w:r>
        <w:t>In some cases, due to the presence of areas of high ecological significance, existing assets or other constraints, the pipeline would be constructed using trenchless construction techniques such as horizontal directional drilling (HDD) or shallow horizontal boring, to avoid construction disturbance within the sensitive area.</w:t>
      </w:r>
    </w:p>
    <w:p w14:paraId="0044653D" w14:textId="1AC48CD3" w:rsidR="00822D71" w:rsidRPr="0099647D" w:rsidRDefault="00822D71" w:rsidP="00822D71">
      <w:pPr>
        <w:pStyle w:val="BodyText"/>
      </w:pPr>
      <w:r w:rsidRPr="0099647D">
        <w:t xml:space="preserve">Key areas where trenchless construction techniques would be used </w:t>
      </w:r>
      <w:r w:rsidR="00654102">
        <w:t xml:space="preserve">instead of the regular open </w:t>
      </w:r>
      <w:r w:rsidR="006026A2">
        <w:t>trench</w:t>
      </w:r>
      <w:r w:rsidR="00654102">
        <w:t xml:space="preserve"> technique </w:t>
      </w:r>
      <w:r w:rsidRPr="0099647D">
        <w:t>include:</w:t>
      </w:r>
    </w:p>
    <w:p w14:paraId="5AEC7A2C" w14:textId="77777777" w:rsidR="00822D71" w:rsidRPr="007B6596" w:rsidRDefault="00822D71" w:rsidP="00822D71">
      <w:pPr>
        <w:pStyle w:val="BodyBullet1"/>
      </w:pPr>
      <w:r>
        <w:t>S</w:t>
      </w:r>
      <w:r w:rsidRPr="00D55425">
        <w:t>elected watercourses</w:t>
      </w:r>
    </w:p>
    <w:p w14:paraId="3D17DFD9" w14:textId="77777777" w:rsidR="00822D71" w:rsidRPr="007B6596" w:rsidRDefault="00822D71" w:rsidP="00822D71">
      <w:pPr>
        <w:pStyle w:val="BodyBullet1"/>
      </w:pPr>
      <w:r>
        <w:t>S</w:t>
      </w:r>
      <w:r w:rsidRPr="00D55425">
        <w:t>ealed road crossings, to avoid traffic disruption</w:t>
      </w:r>
      <w:r w:rsidRPr="007B6596">
        <w:t>.</w:t>
      </w:r>
    </w:p>
    <w:p w14:paraId="290DEF51" w14:textId="4E4B6867" w:rsidR="00FC74AF" w:rsidRDefault="00822D71" w:rsidP="00822D71">
      <w:pPr>
        <w:pStyle w:val="BodyText"/>
      </w:pPr>
      <w:r>
        <w:t xml:space="preserve">In considering </w:t>
      </w:r>
      <w:r w:rsidR="00654102">
        <w:t>crossing methodology alternatives</w:t>
      </w:r>
      <w:r>
        <w:t xml:space="preserve">, </w:t>
      </w:r>
      <w:proofErr w:type="gramStart"/>
      <w:r>
        <w:t>a number of</w:t>
      </w:r>
      <w:proofErr w:type="gramEnd"/>
      <w:r>
        <w:t xml:space="preserve"> factors contribute to the selection of appropriate construction technique</w:t>
      </w:r>
      <w:r w:rsidR="00EE2EF0">
        <w:t>s</w:t>
      </w:r>
      <w:r>
        <w:t xml:space="preserve">. </w:t>
      </w:r>
      <w:proofErr w:type="gramStart"/>
      <w:r w:rsidR="0023206F">
        <w:t>Particular consideration</w:t>
      </w:r>
      <w:proofErr w:type="gramEnd"/>
      <w:r w:rsidR="0023206F">
        <w:t xml:space="preserve"> was given to trenchless construction options at the crossings for the three main waterways, Deep Creek, Jacksons Creek and Merri Creek. </w:t>
      </w:r>
      <w:r>
        <w:fldChar w:fldCharType="begin"/>
      </w:r>
      <w:r>
        <w:instrText xml:space="preserve"> REF _Ref53397906 \h </w:instrText>
      </w:r>
      <w:r>
        <w:fldChar w:fldCharType="separate"/>
      </w:r>
      <w:r w:rsidR="00BA1E56">
        <w:t>Table </w:t>
      </w:r>
      <w:r w:rsidR="00BA1E56">
        <w:rPr>
          <w:noProof/>
        </w:rPr>
        <w:t>3</w:t>
      </w:r>
      <w:r w:rsidR="00BA1E56">
        <w:noBreakHyphen/>
      </w:r>
      <w:r w:rsidR="00BA1E56">
        <w:rPr>
          <w:noProof/>
        </w:rPr>
        <w:t>5</w:t>
      </w:r>
      <w:r>
        <w:fldChar w:fldCharType="end"/>
      </w:r>
      <w:r>
        <w:t xml:space="preserve"> outlines the relevant factors and how they contribute</w:t>
      </w:r>
      <w:r w:rsidR="006975BB">
        <w:t>d</w:t>
      </w:r>
      <w:r>
        <w:t xml:space="preserve"> to </w:t>
      </w:r>
      <w:r w:rsidR="006975BB">
        <w:t>assessment of</w:t>
      </w:r>
      <w:r>
        <w:t xml:space="preserve"> construction options</w:t>
      </w:r>
      <w:r w:rsidR="0023206F">
        <w:t xml:space="preserve"> at </w:t>
      </w:r>
      <w:r w:rsidR="00DE4138">
        <w:t>Jacksons Creek</w:t>
      </w:r>
      <w:r w:rsidR="006975BB">
        <w:t>,</w:t>
      </w:r>
      <w:r w:rsidR="00AE17BA">
        <w:t xml:space="preserve"> </w:t>
      </w:r>
      <w:r w:rsidR="00DE4138">
        <w:t>Deep Creek</w:t>
      </w:r>
      <w:r w:rsidR="006975BB">
        <w:t>, and Merri Creek</w:t>
      </w:r>
      <w:r>
        <w:t xml:space="preserve">. </w:t>
      </w:r>
    </w:p>
    <w:p w14:paraId="63F092E8" w14:textId="30C7B81C" w:rsidR="0023206F" w:rsidRPr="000F41D2" w:rsidRDefault="00946272" w:rsidP="0081742E">
      <w:pPr>
        <w:pStyle w:val="BodyText"/>
        <w:ind w:right="-170"/>
        <w:rPr>
          <w:rStyle w:val="Italics"/>
        </w:rPr>
      </w:pPr>
      <w:r>
        <w:t>All</w:t>
      </w:r>
      <w:r w:rsidR="0023206F">
        <w:t xml:space="preserve"> crossings where trenchless construction would be used are set out in Chapter 4 </w:t>
      </w:r>
      <w:r w:rsidR="0023206F" w:rsidRPr="000F41D2">
        <w:rPr>
          <w:rStyle w:val="Italics"/>
        </w:rPr>
        <w:t xml:space="preserve">Project Description. </w:t>
      </w:r>
    </w:p>
    <w:p w14:paraId="0363A3BB" w14:textId="6F6DB5AE" w:rsidR="00822D71" w:rsidRDefault="00822D71" w:rsidP="00822D71">
      <w:pPr>
        <w:pStyle w:val="Caption"/>
      </w:pPr>
      <w:bookmarkStart w:id="79" w:name="_Ref53397906"/>
      <w:r>
        <w:lastRenderedPageBreak/>
        <w:t>Table</w:t>
      </w:r>
      <w:r w:rsidR="00F4218E">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rsidR="009156F0">
        <w:noBreakHyphen/>
      </w:r>
      <w:r w:rsidR="00D21058">
        <w:fldChar w:fldCharType="begin"/>
      </w:r>
      <w:r w:rsidR="00D21058">
        <w:instrText xml:space="preserve"> SEQ Table \* ARABIC \s 1 </w:instrText>
      </w:r>
      <w:r w:rsidR="00D21058">
        <w:fldChar w:fldCharType="separate"/>
      </w:r>
      <w:r w:rsidR="00BA1E56">
        <w:rPr>
          <w:noProof/>
        </w:rPr>
        <w:t>5</w:t>
      </w:r>
      <w:r w:rsidR="00D21058">
        <w:rPr>
          <w:noProof/>
        </w:rPr>
        <w:fldChar w:fldCharType="end"/>
      </w:r>
      <w:bookmarkEnd w:id="79"/>
      <w:r w:rsidRPr="00FF6554">
        <w:tab/>
      </w:r>
      <w:r>
        <w:t xml:space="preserve">Factors in deciding crossing technique </w:t>
      </w:r>
      <w:r w:rsidR="00F4218E">
        <w:t>–</w:t>
      </w:r>
      <w:r w:rsidR="00654102">
        <w:t xml:space="preserve"> Jacksons</w:t>
      </w:r>
      <w:r w:rsidR="003A214F">
        <w:t> </w:t>
      </w:r>
      <w:r w:rsidR="00654102">
        <w:t>Creek</w:t>
      </w:r>
      <w:r w:rsidR="006975BB">
        <w:t>,</w:t>
      </w:r>
      <w:r w:rsidR="003A214F">
        <w:t> </w:t>
      </w:r>
      <w:r w:rsidR="00654102">
        <w:t>Deep</w:t>
      </w:r>
      <w:r w:rsidR="003A214F">
        <w:t> </w:t>
      </w:r>
      <w:r w:rsidR="00654102">
        <w:t>Creek</w:t>
      </w:r>
      <w:r w:rsidR="003A214F">
        <w:t> </w:t>
      </w:r>
      <w:r w:rsidR="006975BB">
        <w:t>and</w:t>
      </w:r>
      <w:r w:rsidR="00F4218E">
        <w:t> </w:t>
      </w:r>
      <w:r w:rsidR="006975BB">
        <w:t>Merri</w:t>
      </w:r>
      <w:r w:rsidR="00F4218E">
        <w:t> </w:t>
      </w:r>
      <w:r w:rsidR="006975BB">
        <w:t>Creek</w:t>
      </w:r>
      <w:r w:rsidR="00563D40">
        <w:t xml:space="preserve"> </w:t>
      </w:r>
    </w:p>
    <w:tbl>
      <w:tblPr>
        <w:tblStyle w:val="MainTableStyle"/>
        <w:tblW w:w="0" w:type="auto"/>
        <w:tblLook w:val="04A0" w:firstRow="1" w:lastRow="0" w:firstColumn="1" w:lastColumn="0" w:noHBand="0" w:noVBand="1"/>
      </w:tblPr>
      <w:tblGrid>
        <w:gridCol w:w="317"/>
        <w:gridCol w:w="2513"/>
        <w:gridCol w:w="6230"/>
      </w:tblGrid>
      <w:tr w:rsidR="00822D71" w:rsidRPr="00FE3838" w14:paraId="2DE3960F" w14:textId="77777777" w:rsidTr="003A21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8CF090" w14:textId="77777777" w:rsidR="00822D71" w:rsidRPr="00FE3838" w:rsidRDefault="00822D71" w:rsidP="003A214F">
            <w:pPr>
              <w:pStyle w:val="TableHeadingWhiteFont"/>
              <w:rPr>
                <w:rStyle w:val="Bold"/>
              </w:rPr>
            </w:pPr>
          </w:p>
        </w:tc>
        <w:tc>
          <w:tcPr>
            <w:tcW w:w="2513" w:type="dxa"/>
          </w:tcPr>
          <w:p w14:paraId="59F57D8E" w14:textId="77777777" w:rsidR="00822D71" w:rsidRPr="00822D71" w:rsidRDefault="00822D71" w:rsidP="003A214F">
            <w:pPr>
              <w:pStyle w:val="TableHeadingWhiteFont"/>
              <w:cnfStyle w:val="100000000000" w:firstRow="1" w:lastRow="0" w:firstColumn="0" w:lastColumn="0" w:oddVBand="0" w:evenVBand="0" w:oddHBand="0" w:evenHBand="0" w:firstRowFirstColumn="0" w:firstRowLastColumn="0" w:lastRowFirstColumn="0" w:lastRowLastColumn="0"/>
              <w:rPr>
                <w:rStyle w:val="Bold"/>
              </w:rPr>
            </w:pPr>
            <w:r w:rsidRPr="00FE3838">
              <w:rPr>
                <w:rStyle w:val="Bold"/>
              </w:rPr>
              <w:t xml:space="preserve">Factor </w:t>
            </w:r>
          </w:p>
        </w:tc>
        <w:tc>
          <w:tcPr>
            <w:tcW w:w="6230" w:type="dxa"/>
          </w:tcPr>
          <w:p w14:paraId="39DEA819" w14:textId="77777777" w:rsidR="00822D71" w:rsidRPr="00822D71" w:rsidRDefault="00822D71" w:rsidP="003A214F">
            <w:pPr>
              <w:pStyle w:val="TableHeadingWhiteFont"/>
              <w:cnfStyle w:val="100000000000" w:firstRow="1" w:lastRow="0" w:firstColumn="0" w:lastColumn="0" w:oddVBand="0" w:evenVBand="0" w:oddHBand="0" w:evenHBand="0" w:firstRowFirstColumn="0" w:firstRowLastColumn="0" w:lastRowFirstColumn="0" w:lastRowLastColumn="0"/>
              <w:rPr>
                <w:rStyle w:val="Bold"/>
              </w:rPr>
            </w:pPr>
            <w:r w:rsidRPr="00FE3838">
              <w:rPr>
                <w:rStyle w:val="Bold"/>
              </w:rPr>
              <w:t>Co</w:t>
            </w:r>
            <w:r w:rsidRPr="00822D71">
              <w:rPr>
                <w:rStyle w:val="Bold"/>
              </w:rPr>
              <w:t>mment</w:t>
            </w:r>
          </w:p>
        </w:tc>
      </w:tr>
      <w:tr w:rsidR="00822D71" w14:paraId="1F4FA6DE"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0F008229" w14:textId="77777777" w:rsidR="00822D71" w:rsidRPr="00822D71" w:rsidRDefault="00822D71" w:rsidP="003A214F">
            <w:pPr>
              <w:pStyle w:val="TableText"/>
            </w:pPr>
            <w:r>
              <w:t>1</w:t>
            </w:r>
          </w:p>
        </w:tc>
        <w:tc>
          <w:tcPr>
            <w:tcW w:w="2513" w:type="dxa"/>
          </w:tcPr>
          <w:p w14:paraId="218E2807" w14:textId="5B9B3D5A" w:rsidR="00822D71" w:rsidRDefault="003154EE"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Geology</w:t>
            </w:r>
            <w:r>
              <w:t xml:space="preserve"> </w:t>
            </w:r>
            <w:r w:rsidR="003C209D">
              <w:t>–</w:t>
            </w:r>
            <w:r>
              <w:t xml:space="preserve"> the type of geology at a crossing location determines the risk of pipeline construction methodologies.</w:t>
            </w:r>
          </w:p>
        </w:tc>
        <w:tc>
          <w:tcPr>
            <w:tcW w:w="6230" w:type="dxa"/>
          </w:tcPr>
          <w:p w14:paraId="564DEAD2" w14:textId="13F8AC67" w:rsidR="003154EE"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Jacksons Creek:</w:t>
            </w:r>
            <w:r>
              <w:t xml:space="preserve"> </w:t>
            </w:r>
            <w:r w:rsidR="003154EE" w:rsidRPr="003154EE">
              <w:t xml:space="preserve">Geotechnical investigation conducted at Jacksons </w:t>
            </w:r>
            <w:r w:rsidR="003154EE">
              <w:t>C</w:t>
            </w:r>
            <w:r w:rsidR="003154EE" w:rsidRPr="003154EE">
              <w:t xml:space="preserve">reek indicated layers of gravelly sand and gravel layers. </w:t>
            </w:r>
          </w:p>
          <w:p w14:paraId="3BAF9482" w14:textId="77777777" w:rsidR="00822D71" w:rsidRDefault="003154EE" w:rsidP="003A214F">
            <w:pPr>
              <w:pStyle w:val="TableText"/>
              <w:cnfStyle w:val="000000000000" w:firstRow="0" w:lastRow="0" w:firstColumn="0" w:lastColumn="0" w:oddVBand="0" w:evenVBand="0" w:oddHBand="0" w:evenHBand="0" w:firstRowFirstColumn="0" w:firstRowLastColumn="0" w:lastRowFirstColumn="0" w:lastRowLastColumn="0"/>
            </w:pPr>
            <w:r w:rsidRPr="003154EE">
              <w:t>This type of geology is considered a significant risk to HDD techniques, as it is not conducive to maintaining borehole stability.</w:t>
            </w:r>
          </w:p>
          <w:p w14:paraId="55F01F19" w14:textId="5A99FD32" w:rsidR="0023206F"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 xml:space="preserve">Deep Creek: </w:t>
            </w:r>
            <w:r>
              <w:t>Geotechnical investigation conducted at Deep Creek indicated e</w:t>
            </w:r>
            <w:r w:rsidRPr="0023206F">
              <w:t>xtremely weathered Siltstone and Mudstone layers. This profile should provide a good medium for drilling however Sandy Gravel</w:t>
            </w:r>
            <w:r w:rsidR="00563D40">
              <w:t>/</w:t>
            </w:r>
            <w:r w:rsidRPr="0023206F">
              <w:t>Gravel layers indicated in some geotechnical boreholes may pose some stability issues.</w:t>
            </w:r>
          </w:p>
          <w:p w14:paraId="65A252CE" w14:textId="381B13AF" w:rsidR="00F41382" w:rsidRDefault="006975BB" w:rsidP="009369DB">
            <w:pPr>
              <w:pStyle w:val="TableText"/>
              <w:cnfStyle w:val="000000000000" w:firstRow="0" w:lastRow="0" w:firstColumn="0" w:lastColumn="0" w:oddVBand="0" w:evenVBand="0" w:oddHBand="0" w:evenHBand="0" w:firstRowFirstColumn="0" w:firstRowLastColumn="0" w:lastRowFirstColumn="0" w:lastRowLastColumn="0"/>
            </w:pPr>
            <w:r>
              <w:rPr>
                <w:rStyle w:val="Bold"/>
              </w:rPr>
              <w:t>Merri</w:t>
            </w:r>
            <w:r w:rsidRPr="001943A9">
              <w:rPr>
                <w:rStyle w:val="Bold"/>
              </w:rPr>
              <w:t xml:space="preserve"> Creek: </w:t>
            </w:r>
            <w:r w:rsidR="006739E1">
              <w:t>Geotechnical investigations a</w:t>
            </w:r>
            <w:r w:rsidR="006739E1" w:rsidRPr="006739E1">
              <w:t>t Merri Creek indicated some presence of gravely clay within 2 metres depth</w:t>
            </w:r>
            <w:r w:rsidR="00135F98">
              <w:t>, overlaying basalt</w:t>
            </w:r>
            <w:r w:rsidR="006739E1" w:rsidRPr="006739E1">
              <w:t xml:space="preserve">. </w:t>
            </w:r>
            <w:r w:rsidR="00135F98">
              <w:t>G</w:t>
            </w:r>
            <w:r w:rsidR="00135F98" w:rsidRPr="00135F98">
              <w:t>iven th</w:t>
            </w:r>
            <w:r w:rsidR="00135F98">
              <w:t>is</w:t>
            </w:r>
            <w:r w:rsidR="00135F98" w:rsidRPr="00135F98">
              <w:t xml:space="preserve"> underlying presence of bedrock</w:t>
            </w:r>
            <w:r w:rsidR="00135F98">
              <w:t>,</w:t>
            </w:r>
            <w:r w:rsidR="00135F98" w:rsidRPr="00135F98">
              <w:t xml:space="preserve"> the risk of erosion is lower, and therefore open trenching can be readily managed with standard controls</w:t>
            </w:r>
            <w:r w:rsidR="00135F98">
              <w:t>.</w:t>
            </w:r>
          </w:p>
        </w:tc>
      </w:tr>
      <w:tr w:rsidR="00822D71" w14:paraId="1367F02A"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4DC15A0E" w14:textId="77777777" w:rsidR="00822D71" w:rsidRPr="00822D71" w:rsidRDefault="00822D71" w:rsidP="003A214F">
            <w:pPr>
              <w:pStyle w:val="TableText"/>
            </w:pPr>
            <w:r>
              <w:t>2</w:t>
            </w:r>
          </w:p>
        </w:tc>
        <w:tc>
          <w:tcPr>
            <w:tcW w:w="2513" w:type="dxa"/>
          </w:tcPr>
          <w:p w14:paraId="0DA8A8E6" w14:textId="6529E142" w:rsidR="00822D71" w:rsidRDefault="003154EE"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Length of pipeline crossing</w:t>
            </w:r>
            <w:r>
              <w:t xml:space="preserve"> </w:t>
            </w:r>
            <w:r w:rsidR="0081742E">
              <w:t>–</w:t>
            </w:r>
            <w:r>
              <w:t xml:space="preserve"> </w:t>
            </w:r>
            <w:r w:rsidR="00F26228">
              <w:t>s</w:t>
            </w:r>
            <w:r w:rsidRPr="003154EE">
              <w:t>election of an overall HDD length takes into consideration the pipe radi</w:t>
            </w:r>
            <w:r>
              <w:t xml:space="preserve">us </w:t>
            </w:r>
            <w:r w:rsidRPr="003154EE">
              <w:t>limiting stresses imposed on the pipe, adequate cover under the creek and exit angles to reduce pipe over bend.</w:t>
            </w:r>
          </w:p>
        </w:tc>
        <w:tc>
          <w:tcPr>
            <w:tcW w:w="6230" w:type="dxa"/>
          </w:tcPr>
          <w:p w14:paraId="05BF2262" w14:textId="4138276D" w:rsidR="003154EE" w:rsidRPr="003154EE"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0F41D2">
              <w:rPr>
                <w:rStyle w:val="Bold"/>
              </w:rPr>
              <w:t>J</w:t>
            </w:r>
            <w:r w:rsidRPr="0023206F">
              <w:rPr>
                <w:rStyle w:val="Bold"/>
              </w:rPr>
              <w:t>acksons Creek:</w:t>
            </w:r>
            <w:r w:rsidR="003154EE" w:rsidRPr="003154EE">
              <w:t xml:space="preserve"> </w:t>
            </w:r>
            <w:r w:rsidR="006739E1" w:rsidRPr="00612E89">
              <w:rPr>
                <w:rStyle w:val="Removedirectformatting"/>
              </w:rPr>
              <w:t>T</w:t>
            </w:r>
            <w:r w:rsidR="003154EE" w:rsidRPr="003154EE">
              <w:t xml:space="preserve">he </w:t>
            </w:r>
            <w:r w:rsidR="006545B0">
              <w:t xml:space="preserve">depth of cover below the lowest point of the creek </w:t>
            </w:r>
            <w:r w:rsidR="00EF4069">
              <w:t>would</w:t>
            </w:r>
            <w:r w:rsidR="006545B0">
              <w:t xml:space="preserve"> be 2 metres</w:t>
            </w:r>
            <w:r w:rsidR="006739E1">
              <w:t>.</w:t>
            </w:r>
            <w:r w:rsidR="003154EE" w:rsidRPr="003154EE">
              <w:t xml:space="preserve"> </w:t>
            </w:r>
            <w:r w:rsidR="006739E1">
              <w:t>T</w:t>
            </w:r>
            <w:r w:rsidR="003154EE" w:rsidRPr="003154EE">
              <w:t>he angle of the approach for the creek crossing for a pipe of this size (</w:t>
            </w:r>
            <w:r w:rsidR="005852CD">
              <w:t>6</w:t>
            </w:r>
            <w:r w:rsidR="003154EE" w:rsidRPr="003154EE">
              <w:t>00</w:t>
            </w:r>
            <w:r w:rsidR="00B03CB4">
              <w:t> </w:t>
            </w:r>
            <w:r w:rsidR="003154EE" w:rsidRPr="003154EE">
              <w:t xml:space="preserve">mm) and grade of steel would require a bore length of </w:t>
            </w:r>
            <w:r w:rsidR="003154EE">
              <w:t xml:space="preserve">more than </w:t>
            </w:r>
            <w:r w:rsidR="003154EE" w:rsidRPr="003154EE">
              <w:t>460</w:t>
            </w:r>
            <w:r>
              <w:t xml:space="preserve"> </w:t>
            </w:r>
            <w:r w:rsidR="003154EE" w:rsidRPr="003154EE">
              <w:t>m</w:t>
            </w:r>
            <w:r>
              <w:t>etres</w:t>
            </w:r>
            <w:r w:rsidR="003154EE" w:rsidRPr="003154EE">
              <w:t xml:space="preserve"> to achieve the required minimum pipe string radius </w:t>
            </w:r>
            <w:proofErr w:type="gramStart"/>
            <w:r w:rsidR="003154EE" w:rsidRPr="003154EE">
              <w:t>in order to</w:t>
            </w:r>
            <w:proofErr w:type="gramEnd"/>
            <w:r w:rsidR="003154EE" w:rsidRPr="003154EE">
              <w:t xml:space="preserve"> avoid compromising the integrity of the steel pipe and its corrosion protective coating.</w:t>
            </w:r>
          </w:p>
          <w:p w14:paraId="285166CE" w14:textId="616931C5" w:rsidR="00822D71" w:rsidRDefault="003154EE" w:rsidP="003A214F">
            <w:pPr>
              <w:pStyle w:val="TableText"/>
              <w:cnfStyle w:val="000000000000" w:firstRow="0" w:lastRow="0" w:firstColumn="0" w:lastColumn="0" w:oddVBand="0" w:evenVBand="0" w:oddHBand="0" w:evenHBand="0" w:firstRowFirstColumn="0" w:firstRowLastColumn="0" w:lastRowFirstColumn="0" w:lastRowLastColumn="0"/>
            </w:pPr>
            <w:r w:rsidRPr="003154EE">
              <w:t xml:space="preserve">Drilling over this length, and in the gravelly geological conditions that </w:t>
            </w:r>
            <w:r w:rsidR="00EF4069">
              <w:t>would</w:t>
            </w:r>
            <w:r w:rsidRPr="003154EE">
              <w:t xml:space="preserve"> be encountered, </w:t>
            </w:r>
            <w:r w:rsidR="00EF4069">
              <w:t>would</w:t>
            </w:r>
            <w:r w:rsidRPr="003154EE">
              <w:t xml:space="preserve"> significantly increase the risk of multiple uncontrolled fluid losses to the surrounding environment being experienced (see Hydrofracture).</w:t>
            </w:r>
          </w:p>
          <w:p w14:paraId="63211142" w14:textId="09FDD85F" w:rsidR="004D7679" w:rsidRPr="004D7679" w:rsidRDefault="004D7679" w:rsidP="003A214F">
            <w:pPr>
              <w:pStyle w:val="TableText"/>
              <w:cnfStyle w:val="000000000000" w:firstRow="0" w:lastRow="0" w:firstColumn="0" w:lastColumn="0" w:oddVBand="0" w:evenVBand="0" w:oddHBand="0" w:evenHBand="0" w:firstRowFirstColumn="0" w:firstRowLastColumn="0" w:lastRowFirstColumn="0" w:lastRowLastColumn="0"/>
            </w:pPr>
            <w:r w:rsidRPr="004D7679">
              <w:rPr>
                <w:rStyle w:val="Bold"/>
              </w:rPr>
              <w:t>Deep Creek:</w:t>
            </w:r>
            <w:r w:rsidRPr="004D7679">
              <w:t xml:space="preserve"> The total length of HDD at this location would be approximately 400</w:t>
            </w:r>
            <w:r w:rsidR="00B03CB4">
              <w:t> </w:t>
            </w:r>
            <w:r w:rsidRPr="004D7679">
              <w:t>m. Construction</w:t>
            </w:r>
            <w:r w:rsidR="006739E1" w:rsidRPr="006739E1">
              <w:t xml:space="preserve"> footprint at the HDD entry and exit pit locations </w:t>
            </w:r>
            <w:r w:rsidR="00A77D85">
              <w:t>on each si</w:t>
            </w:r>
            <w:r w:rsidR="00704C57">
              <w:t>d</w:t>
            </w:r>
            <w:r w:rsidR="00A77D85">
              <w:t xml:space="preserve">e of the Creek </w:t>
            </w:r>
            <w:r w:rsidR="006739E1" w:rsidRPr="006739E1">
              <w:t>would need to be maintained for HDD rig set up and access</w:t>
            </w:r>
            <w:r w:rsidR="00A77D85">
              <w:t xml:space="preserve"> </w:t>
            </w:r>
            <w:r w:rsidRPr="004D7679">
              <w:t xml:space="preserve">of around </w:t>
            </w:r>
            <w:r w:rsidR="00A77D85">
              <w:t xml:space="preserve">50 m </w:t>
            </w:r>
            <w:r w:rsidRPr="004D7679">
              <w:t>by 100 m due to existing terrain conditions.</w:t>
            </w:r>
          </w:p>
          <w:p w14:paraId="1A6442EB" w14:textId="7AF357E8" w:rsidR="00822D71" w:rsidRDefault="006975BB" w:rsidP="003A214F">
            <w:pPr>
              <w:pStyle w:val="TableText"/>
              <w:cnfStyle w:val="000000000000" w:firstRow="0" w:lastRow="0" w:firstColumn="0" w:lastColumn="0" w:oddVBand="0" w:evenVBand="0" w:oddHBand="0" w:evenHBand="0" w:firstRowFirstColumn="0" w:firstRowLastColumn="0" w:lastRowFirstColumn="0" w:lastRowLastColumn="0"/>
            </w:pPr>
            <w:r>
              <w:rPr>
                <w:rStyle w:val="Bold"/>
              </w:rPr>
              <w:t>M</w:t>
            </w:r>
            <w:r w:rsidRPr="006975BB">
              <w:rPr>
                <w:rStyle w:val="Bold"/>
              </w:rPr>
              <w:t xml:space="preserve">erri Creek: </w:t>
            </w:r>
            <w:r>
              <w:t xml:space="preserve">The total length of HDD at this </w:t>
            </w:r>
            <w:r w:rsidR="004D7679">
              <w:t>would</w:t>
            </w:r>
            <w:r w:rsidR="006739E1" w:rsidRPr="006739E1">
              <w:t xml:space="preserve"> be </w:t>
            </w:r>
            <w:r w:rsidR="004D7679">
              <w:t xml:space="preserve">approximately </w:t>
            </w:r>
            <w:r w:rsidR="006739E1" w:rsidRPr="006739E1">
              <w:t xml:space="preserve">300m (based on achieving a minimum depth below the lowest point of the creek and required entry/exit angles). </w:t>
            </w:r>
            <w:r w:rsidR="004D7679">
              <w:t>C</w:t>
            </w:r>
            <w:r w:rsidR="006739E1" w:rsidRPr="006739E1">
              <w:t xml:space="preserve">onstruction footprint at the HDD entry and exit pit locations </w:t>
            </w:r>
            <w:r w:rsidR="00A77D85">
              <w:t>on each si</w:t>
            </w:r>
            <w:r w:rsidR="00704C57">
              <w:t>d</w:t>
            </w:r>
            <w:r w:rsidR="00A77D85">
              <w:t xml:space="preserve">e of the Creek </w:t>
            </w:r>
            <w:r w:rsidR="006739E1" w:rsidRPr="006739E1">
              <w:t>would need to be maintained for HDD rig set up and access</w:t>
            </w:r>
            <w:r w:rsidR="00A77D85">
              <w:t xml:space="preserve"> </w:t>
            </w:r>
            <w:r w:rsidR="004D7679">
              <w:t xml:space="preserve">of around 50 m by </w:t>
            </w:r>
            <w:r w:rsidR="00A77D85">
              <w:t>50 m compared to a 30 m standard width construction corridor</w:t>
            </w:r>
            <w:r w:rsidR="006739E1" w:rsidRPr="006739E1">
              <w:t>.</w:t>
            </w:r>
          </w:p>
        </w:tc>
      </w:tr>
      <w:tr w:rsidR="003154EE" w14:paraId="7B3B7A5C"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74268AE1" w14:textId="096200ED" w:rsidR="003154EE" w:rsidRDefault="003154EE" w:rsidP="003A214F">
            <w:pPr>
              <w:pStyle w:val="TableText"/>
            </w:pPr>
            <w:r>
              <w:lastRenderedPageBreak/>
              <w:t>3</w:t>
            </w:r>
          </w:p>
        </w:tc>
        <w:tc>
          <w:tcPr>
            <w:tcW w:w="2513" w:type="dxa"/>
          </w:tcPr>
          <w:p w14:paraId="6F30EAD7" w14:textId="22C54F03" w:rsidR="003154EE" w:rsidRDefault="003154EE"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 xml:space="preserve">Hydrofracture </w:t>
            </w:r>
            <w:r w:rsidR="0022719F" w:rsidRPr="001943A9">
              <w:rPr>
                <w:rStyle w:val="Bold"/>
              </w:rPr>
              <w:t xml:space="preserve">risk </w:t>
            </w:r>
            <w:r w:rsidR="00F4218E">
              <w:t>–</w:t>
            </w:r>
            <w:r w:rsidR="0022719F">
              <w:t xml:space="preserve"> this is influenced by the geological conditions.</w:t>
            </w:r>
          </w:p>
          <w:p w14:paraId="66C2772B" w14:textId="77777777" w:rsidR="004D7679" w:rsidRPr="004D7679" w:rsidRDefault="004D7679" w:rsidP="003A214F">
            <w:pPr>
              <w:pStyle w:val="TableText"/>
              <w:cnfStyle w:val="000000000000" w:firstRow="0" w:lastRow="0" w:firstColumn="0" w:lastColumn="0" w:oddVBand="0" w:evenVBand="0" w:oddHBand="0" w:evenHBand="0" w:firstRowFirstColumn="0" w:firstRowLastColumn="0" w:lastRowFirstColumn="0" w:lastRowLastColumn="0"/>
            </w:pPr>
            <w:r w:rsidRPr="004D7679">
              <w:t xml:space="preserve">Drilling fluid (generally a </w:t>
            </w:r>
            <w:proofErr w:type="gramStart"/>
            <w:r w:rsidRPr="004D7679">
              <w:t>bentonite based</w:t>
            </w:r>
            <w:proofErr w:type="gramEnd"/>
            <w:r w:rsidRPr="004D7679">
              <w:t xml:space="preserve"> fluid) is required to assist in the drilling process, and in areas of fractured rock, or in areas where the rock is at risk of fracturing, may escape from the drill hole to surface waters or the surrounding environment (known as a 'frac-out').</w:t>
            </w:r>
          </w:p>
          <w:p w14:paraId="4D62AAA6" w14:textId="77777777" w:rsidR="004D7679" w:rsidRPr="004D7679" w:rsidRDefault="004D7679" w:rsidP="003A214F">
            <w:pPr>
              <w:pStyle w:val="TableText"/>
              <w:cnfStyle w:val="000000000000" w:firstRow="0" w:lastRow="0" w:firstColumn="0" w:lastColumn="0" w:oddVBand="0" w:evenVBand="0" w:oddHBand="0" w:evenHBand="0" w:firstRowFirstColumn="0" w:firstRowLastColumn="0" w:lastRowFirstColumn="0" w:lastRowLastColumn="0"/>
            </w:pPr>
            <w:r w:rsidRPr="004D7679">
              <w:t>The exit points from such fracture points need not be limited to the immediate area of the drill so that, depending on site specific fracture paths, the discharge point of the fugitive fluid may be tens to hundreds of metres from the actual drill path.</w:t>
            </w:r>
          </w:p>
          <w:p w14:paraId="05AAC51D" w14:textId="04EBEC04" w:rsidR="003154EE" w:rsidRDefault="004D7679" w:rsidP="003A214F">
            <w:pPr>
              <w:pStyle w:val="TableText"/>
              <w:cnfStyle w:val="000000000000" w:firstRow="0" w:lastRow="0" w:firstColumn="0" w:lastColumn="0" w:oddVBand="0" w:evenVBand="0" w:oddHBand="0" w:evenHBand="0" w:firstRowFirstColumn="0" w:firstRowLastColumn="0" w:lastRowFirstColumn="0" w:lastRowLastColumn="0"/>
            </w:pPr>
            <w:r w:rsidRPr="004D7679">
              <w:t xml:space="preserve">Hydrofracture can also cause significant problems with maintaining borehole stability, affect cutting carrying capacity of the drilling fluid and thereby reducing its ability to clean the borehole. These issues </w:t>
            </w:r>
            <w:r>
              <w:t>would</w:t>
            </w:r>
            <w:r w:rsidRPr="004D7679">
              <w:t xml:space="preserve"> have a significant impact on the ultimate success of the bore.</w:t>
            </w:r>
          </w:p>
        </w:tc>
        <w:tc>
          <w:tcPr>
            <w:tcW w:w="6230" w:type="dxa"/>
          </w:tcPr>
          <w:p w14:paraId="72AA335A" w14:textId="58C29813" w:rsidR="003154EE" w:rsidRPr="003154EE"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 xml:space="preserve">Jacksons Creek: </w:t>
            </w:r>
            <w:r w:rsidR="003154EE" w:rsidRPr="003154EE">
              <w:t>Hydrofracture is considered a major risk for Jacksons Creek crossing, due to the gravelly geological conditions posing a risk not only to bore stability but also hydrofracture.</w:t>
            </w:r>
          </w:p>
          <w:p w14:paraId="22A54C84" w14:textId="4411F293" w:rsidR="00E528EB" w:rsidRDefault="00E528EB"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Deep Creek:</w:t>
            </w:r>
            <w:r>
              <w:t xml:space="preserve"> </w:t>
            </w:r>
            <w:r w:rsidRPr="00E528EB">
              <w:t>Risk of hydrofracture for Deep Creek is considered low</w:t>
            </w:r>
            <w:r>
              <w:t xml:space="preserve"> as the a</w:t>
            </w:r>
            <w:r w:rsidRPr="00E528EB">
              <w:t xml:space="preserve">lignment is positioned for </w:t>
            </w:r>
            <w:proofErr w:type="gramStart"/>
            <w:r w:rsidRPr="00E528EB">
              <w:t>the majority of</w:t>
            </w:r>
            <w:proofErr w:type="gramEnd"/>
            <w:r w:rsidRPr="00E528EB">
              <w:t xml:space="preserve"> its length in the </w:t>
            </w:r>
            <w:r>
              <w:t>'</w:t>
            </w:r>
            <w:r w:rsidRPr="00E528EB">
              <w:t>Extremely Weathered Siltstone/Siltstone</w:t>
            </w:r>
            <w:r>
              <w:t>'</w:t>
            </w:r>
            <w:r w:rsidRPr="00E528EB">
              <w:t xml:space="preserve"> strata</w:t>
            </w:r>
            <w:r>
              <w:t xml:space="preserve"> and the d</w:t>
            </w:r>
            <w:r w:rsidRPr="00E528EB">
              <w:t>epth of cover under creek minimum 16</w:t>
            </w:r>
            <w:r>
              <w:t xml:space="preserve"> </w:t>
            </w:r>
            <w:r w:rsidRPr="00E528EB">
              <w:t>m</w:t>
            </w:r>
            <w:r>
              <w:t>etres</w:t>
            </w:r>
            <w:r w:rsidRPr="00E528EB">
              <w:t>.</w:t>
            </w:r>
          </w:p>
          <w:p w14:paraId="0358A841" w14:textId="64319031" w:rsidR="00F41382" w:rsidRDefault="006975BB" w:rsidP="003A214F">
            <w:pPr>
              <w:pStyle w:val="TableText"/>
              <w:cnfStyle w:val="000000000000" w:firstRow="0" w:lastRow="0" w:firstColumn="0" w:lastColumn="0" w:oddVBand="0" w:evenVBand="0" w:oddHBand="0" w:evenHBand="0" w:firstRowFirstColumn="0" w:firstRowLastColumn="0" w:lastRowFirstColumn="0" w:lastRowLastColumn="0"/>
            </w:pPr>
            <w:r>
              <w:rPr>
                <w:rStyle w:val="Bold"/>
              </w:rPr>
              <w:t>M</w:t>
            </w:r>
            <w:r w:rsidRPr="006975BB">
              <w:rPr>
                <w:rStyle w:val="Bold"/>
              </w:rPr>
              <w:t>erri Creek:</w:t>
            </w:r>
            <w:r w:rsidR="00563D40">
              <w:rPr>
                <w:rStyle w:val="Bold"/>
              </w:rPr>
              <w:t xml:space="preserve"> </w:t>
            </w:r>
            <w:r w:rsidR="009F7CFA" w:rsidRPr="009F7CFA">
              <w:t>Risk of hydrofracture if HDD were adopted is considered moderate at this location due to the presence of gravelly clay, however a detailed assessment has not been undertaken.</w:t>
            </w:r>
          </w:p>
        </w:tc>
      </w:tr>
      <w:tr w:rsidR="003154EE" w14:paraId="494A1490"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7F7415C8" w14:textId="1D63C3FB" w:rsidR="003154EE" w:rsidRDefault="00926980" w:rsidP="003A214F">
            <w:pPr>
              <w:pStyle w:val="TableText"/>
            </w:pPr>
            <w:r>
              <w:t>4</w:t>
            </w:r>
          </w:p>
        </w:tc>
        <w:tc>
          <w:tcPr>
            <w:tcW w:w="2513" w:type="dxa"/>
          </w:tcPr>
          <w:p w14:paraId="23749CA2" w14:textId="0BF1749E" w:rsidR="003154EE" w:rsidRPr="001943A9" w:rsidRDefault="004D7679"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4D7679">
              <w:rPr>
                <w:rStyle w:val="Bold"/>
              </w:rPr>
              <w:t xml:space="preserve">Exit angle requirements </w:t>
            </w:r>
            <w:r w:rsidR="00F4218E">
              <w:t>–</w:t>
            </w:r>
            <w:r w:rsidRPr="004D7679">
              <w:t xml:space="preserve"> the exit angle of the pipe when it is pulled back through the HDD borehole can cause damage or failure of the pipe if the bend is too great at its highest point. The aim is to keep the exit angle as flat as possible to reduce the height of the overbend required to facilitate the pulling of the pipe into the borehole</w:t>
            </w:r>
            <w:r w:rsidR="0081742E">
              <w:t>.</w:t>
            </w:r>
          </w:p>
        </w:tc>
        <w:tc>
          <w:tcPr>
            <w:tcW w:w="6230" w:type="dxa"/>
          </w:tcPr>
          <w:p w14:paraId="073388D9" w14:textId="7F737D95" w:rsidR="00926980" w:rsidRPr="00926980"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0F41D2">
              <w:rPr>
                <w:rStyle w:val="Bold"/>
              </w:rPr>
              <w:t>J</w:t>
            </w:r>
            <w:r w:rsidRPr="0023206F">
              <w:rPr>
                <w:rStyle w:val="Bold"/>
              </w:rPr>
              <w:t xml:space="preserve">acksons Creek: </w:t>
            </w:r>
            <w:r w:rsidR="00926980" w:rsidRPr="00926980">
              <w:t>To facilitate the drill exiting the ground prior to change in alignment directio</w:t>
            </w:r>
            <w:r w:rsidR="00926980">
              <w:t>n</w:t>
            </w:r>
            <w:r w:rsidR="00926980" w:rsidRPr="00926980">
              <w:t xml:space="preserve">, a steep exit angle </w:t>
            </w:r>
            <w:r w:rsidR="00EF4069">
              <w:t>would</w:t>
            </w:r>
            <w:r w:rsidR="00926980" w:rsidRPr="00926980">
              <w:t xml:space="preserve"> be required. </w:t>
            </w:r>
          </w:p>
          <w:p w14:paraId="232435E3" w14:textId="0CA5B924" w:rsidR="003154EE" w:rsidRDefault="00926980" w:rsidP="003A214F">
            <w:pPr>
              <w:pStyle w:val="TableText"/>
              <w:cnfStyle w:val="000000000000" w:firstRow="0" w:lastRow="0" w:firstColumn="0" w:lastColumn="0" w:oddVBand="0" w:evenVBand="0" w:oddHBand="0" w:evenHBand="0" w:firstRowFirstColumn="0" w:firstRowLastColumn="0" w:lastRowFirstColumn="0" w:lastRowLastColumn="0"/>
            </w:pPr>
            <w:r w:rsidRPr="00926980">
              <w:t xml:space="preserve">The proposed exit angle is much steeper than what would generally be recommended and </w:t>
            </w:r>
            <w:r w:rsidR="00EF4069">
              <w:t>would</w:t>
            </w:r>
            <w:r w:rsidRPr="00926980">
              <w:t xml:space="preserve"> create issues with management of the tail string, as well as overbend management (length and height of drill need to stay within an acceptable bend radius).</w:t>
            </w:r>
          </w:p>
          <w:p w14:paraId="7D332035" w14:textId="000E47B6" w:rsidR="00E528EB" w:rsidRDefault="00E528EB" w:rsidP="003A214F">
            <w:pPr>
              <w:pStyle w:val="TableText"/>
              <w:cnfStyle w:val="000000000000" w:firstRow="0" w:lastRow="0" w:firstColumn="0" w:lastColumn="0" w:oddVBand="0" w:evenVBand="0" w:oddHBand="0" w:evenHBand="0" w:firstRowFirstColumn="0" w:firstRowLastColumn="0" w:lastRowFirstColumn="0" w:lastRowLastColumn="0"/>
            </w:pPr>
            <w:r w:rsidRPr="001943A9">
              <w:rPr>
                <w:rStyle w:val="Bold"/>
              </w:rPr>
              <w:t>Deep Creek:</w:t>
            </w:r>
            <w:r>
              <w:t xml:space="preserve"> </w:t>
            </w:r>
            <w:r w:rsidRPr="00E528EB">
              <w:t xml:space="preserve">No overbend </w:t>
            </w:r>
            <w:r w:rsidR="00EF4069">
              <w:t>would</w:t>
            </w:r>
            <w:r w:rsidRPr="00E528EB">
              <w:t xml:space="preserve"> be required as the exit angle has been designed to match the upslope beyond the exit point.</w:t>
            </w:r>
            <w:r>
              <w:t xml:space="preserve"> </w:t>
            </w:r>
          </w:p>
          <w:p w14:paraId="4BA9B9CF" w14:textId="46F5A090" w:rsidR="00E528EB" w:rsidRDefault="009F7CFA" w:rsidP="003A214F">
            <w:pPr>
              <w:pStyle w:val="TableText"/>
              <w:cnfStyle w:val="000000000000" w:firstRow="0" w:lastRow="0" w:firstColumn="0" w:lastColumn="0" w:oddVBand="0" w:evenVBand="0" w:oddHBand="0" w:evenHBand="0" w:firstRowFirstColumn="0" w:firstRowLastColumn="0" w:lastRowFirstColumn="0" w:lastRowLastColumn="0"/>
            </w:pPr>
            <w:r w:rsidRPr="00612E89">
              <w:rPr>
                <w:rStyle w:val="Bold"/>
              </w:rPr>
              <w:t>Merri Creek:</w:t>
            </w:r>
            <w:r w:rsidRPr="009F7CFA">
              <w:t xml:space="preserve"> A detailed HDD assessment has not been undertaken however overbend is expected to be mitigated through design of entry and exit angles at this location.</w:t>
            </w:r>
          </w:p>
        </w:tc>
      </w:tr>
      <w:tr w:rsidR="003154EE" w14:paraId="0D4A37C8"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3A39CCDC" w14:textId="04CC18BA" w:rsidR="003154EE" w:rsidRDefault="00926980" w:rsidP="003A214F">
            <w:pPr>
              <w:pStyle w:val="TableText"/>
            </w:pPr>
            <w:r>
              <w:lastRenderedPageBreak/>
              <w:t>5</w:t>
            </w:r>
          </w:p>
        </w:tc>
        <w:tc>
          <w:tcPr>
            <w:tcW w:w="2513" w:type="dxa"/>
          </w:tcPr>
          <w:p w14:paraId="5674F361" w14:textId="27F24FAC" w:rsidR="003154EE" w:rsidRPr="001943A9" w:rsidRDefault="00926980"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1943A9">
              <w:rPr>
                <w:rStyle w:val="Bold"/>
              </w:rPr>
              <w:t xml:space="preserve">Pipe </w:t>
            </w:r>
            <w:r w:rsidR="009F7CFA">
              <w:rPr>
                <w:rStyle w:val="Bold"/>
              </w:rPr>
              <w:t>s</w:t>
            </w:r>
            <w:r w:rsidRPr="001943A9">
              <w:rPr>
                <w:rStyle w:val="Bold"/>
              </w:rPr>
              <w:t xml:space="preserve">tringing and </w:t>
            </w:r>
            <w:r w:rsidR="009F7CFA">
              <w:rPr>
                <w:rStyle w:val="Bold"/>
              </w:rPr>
              <w:t>p</w:t>
            </w:r>
            <w:r w:rsidRPr="001943A9">
              <w:rPr>
                <w:rStyle w:val="Bold"/>
              </w:rPr>
              <w:t xml:space="preserve">ull </w:t>
            </w:r>
            <w:r w:rsidR="009F7CFA">
              <w:rPr>
                <w:rStyle w:val="Bold"/>
              </w:rPr>
              <w:t>b</w:t>
            </w:r>
            <w:r w:rsidRPr="001943A9">
              <w:rPr>
                <w:rStyle w:val="Bold"/>
              </w:rPr>
              <w:t xml:space="preserve">ack </w:t>
            </w:r>
            <w:r w:rsidR="009F7CFA">
              <w:rPr>
                <w:rStyle w:val="Bold"/>
              </w:rPr>
              <w:t>a</w:t>
            </w:r>
            <w:r w:rsidRPr="001943A9">
              <w:rPr>
                <w:rStyle w:val="Bold"/>
              </w:rPr>
              <w:t>rrangement</w:t>
            </w:r>
            <w:r w:rsidR="009D21AF">
              <w:rPr>
                <w:rStyle w:val="Bold"/>
              </w:rPr>
              <w:t xml:space="preserve"> </w:t>
            </w:r>
            <w:r w:rsidR="00F4218E">
              <w:t>–</w:t>
            </w:r>
            <w:r w:rsidR="009D21AF">
              <w:rPr>
                <w:rStyle w:val="Bold"/>
              </w:rPr>
              <w:t xml:space="preserve"> </w:t>
            </w:r>
            <w:r w:rsidR="009D21AF" w:rsidRPr="009D21AF">
              <w:t>to minimise damage to the pipeline during the HDD pullback process, it is preferable to string out the pipe in one full length to facilitate ease of insertion into the borehole. This may require additional construction space to be able to set up pipe stringing for HDD, depending on the angle of the pipeline alignment and terrain</w:t>
            </w:r>
            <w:r w:rsidR="0081742E">
              <w:t>.</w:t>
            </w:r>
          </w:p>
        </w:tc>
        <w:tc>
          <w:tcPr>
            <w:tcW w:w="6230" w:type="dxa"/>
          </w:tcPr>
          <w:p w14:paraId="2523557D" w14:textId="775CCE2A" w:rsidR="00926980" w:rsidRPr="00926980" w:rsidRDefault="0023206F" w:rsidP="003A214F">
            <w:pPr>
              <w:pStyle w:val="TableText"/>
              <w:cnfStyle w:val="000000000000" w:firstRow="0" w:lastRow="0" w:firstColumn="0" w:lastColumn="0" w:oddVBand="0" w:evenVBand="0" w:oddHBand="0" w:evenHBand="0" w:firstRowFirstColumn="0" w:firstRowLastColumn="0" w:lastRowFirstColumn="0" w:lastRowLastColumn="0"/>
            </w:pPr>
            <w:r w:rsidRPr="000F41D2">
              <w:rPr>
                <w:rStyle w:val="Bold"/>
              </w:rPr>
              <w:t>J</w:t>
            </w:r>
            <w:r w:rsidRPr="0023206F">
              <w:rPr>
                <w:rStyle w:val="Bold"/>
              </w:rPr>
              <w:t xml:space="preserve">acksons Creek: </w:t>
            </w:r>
            <w:proofErr w:type="gramStart"/>
            <w:r w:rsidRPr="0091272B">
              <w:rPr>
                <w:rStyle w:val="Removedirectformatting"/>
              </w:rPr>
              <w:t>In</w:t>
            </w:r>
            <w:r w:rsidR="0091272B">
              <w:rPr>
                <w:rStyle w:val="Removedirectformatting"/>
              </w:rPr>
              <w:t xml:space="preserve"> </w:t>
            </w:r>
            <w:r w:rsidR="00926980" w:rsidRPr="00926980">
              <w:t>order to</w:t>
            </w:r>
            <w:proofErr w:type="gramEnd"/>
            <w:r w:rsidR="00926980" w:rsidRPr="00926980">
              <w:t xml:space="preserve"> minimise risks during the drilling process, it is preferable to string out the pipe in one full length to achieve a continuous pipe pull operation. </w:t>
            </w:r>
          </w:p>
          <w:p w14:paraId="562DB5DA" w14:textId="0F1684AA" w:rsidR="003154EE" w:rsidRDefault="00926980" w:rsidP="003A214F">
            <w:pPr>
              <w:pStyle w:val="TableText"/>
              <w:cnfStyle w:val="000000000000" w:firstRow="0" w:lastRow="0" w:firstColumn="0" w:lastColumn="0" w:oddVBand="0" w:evenVBand="0" w:oddHBand="0" w:evenHBand="0" w:firstRowFirstColumn="0" w:firstRowLastColumn="0" w:lastRowFirstColumn="0" w:lastRowLastColumn="0"/>
            </w:pPr>
            <w:r w:rsidRPr="00926980">
              <w:t>To lay out the full pipe string (</w:t>
            </w:r>
            <w:r>
              <w:t>more than</w:t>
            </w:r>
            <w:r w:rsidRPr="00926980">
              <w:t xml:space="preserve"> 460</w:t>
            </w:r>
            <w:r>
              <w:t xml:space="preserve"> </w:t>
            </w:r>
            <w:r w:rsidRPr="00926980">
              <w:t>m</w:t>
            </w:r>
            <w:r>
              <w:t>etres</w:t>
            </w:r>
            <w:r w:rsidRPr="00926980">
              <w:t xml:space="preserve">), the pipe would need to be placed in a direct line north of the proposed exit pit location (north of Jacksons </w:t>
            </w:r>
            <w:r>
              <w:t>C</w:t>
            </w:r>
            <w:r w:rsidRPr="00926980">
              <w:t xml:space="preserve">reek). This </w:t>
            </w:r>
            <w:r w:rsidR="00EF4069">
              <w:t>would</w:t>
            </w:r>
            <w:r w:rsidRPr="00926980">
              <w:t xml:space="preserve"> take the pipe string outside the designated </w:t>
            </w:r>
            <w:r w:rsidR="0050608F">
              <w:t>construction</w:t>
            </w:r>
            <w:r w:rsidR="009D21AF">
              <w:t xml:space="preserve"> corridor</w:t>
            </w:r>
            <w:r w:rsidRPr="00926980">
              <w:t xml:space="preserve"> through the landowner</w:t>
            </w:r>
            <w:r w:rsidR="009F7CFA">
              <w:t>'</w:t>
            </w:r>
            <w:r w:rsidRPr="00926980">
              <w:t xml:space="preserve">s paddock, currently being utilised for the cultivation of wheat, and </w:t>
            </w:r>
            <w:r w:rsidR="00EF4069">
              <w:t>would</w:t>
            </w:r>
            <w:r w:rsidRPr="00926980">
              <w:t xml:space="preserve"> require </w:t>
            </w:r>
            <w:r w:rsidR="004429B9">
              <w:t xml:space="preserve">significant </w:t>
            </w:r>
            <w:r w:rsidRPr="00926980">
              <w:t>additional temporary construction footprint</w:t>
            </w:r>
            <w:r w:rsidR="004429B9">
              <w:t xml:space="preserve"> to accommodate the HDD entry and exit pits and set up areas</w:t>
            </w:r>
            <w:r w:rsidRPr="00926980">
              <w:t>.</w:t>
            </w:r>
          </w:p>
          <w:p w14:paraId="583068C1" w14:textId="2AC26FD6" w:rsidR="00E54EB2" w:rsidRDefault="00E54EB2" w:rsidP="003A214F">
            <w:pPr>
              <w:pStyle w:val="TableText"/>
              <w:cnfStyle w:val="000000000000" w:firstRow="0" w:lastRow="0" w:firstColumn="0" w:lastColumn="0" w:oddVBand="0" w:evenVBand="0" w:oddHBand="0" w:evenHBand="0" w:firstRowFirstColumn="0" w:firstRowLastColumn="0" w:lastRowFirstColumn="0" w:lastRowLastColumn="0"/>
            </w:pPr>
            <w:r w:rsidRPr="007210C3">
              <w:rPr>
                <w:rStyle w:val="Bold"/>
              </w:rPr>
              <w:t xml:space="preserve">Deep Creek: </w:t>
            </w:r>
            <w:r w:rsidRPr="00E54EB2">
              <w:t xml:space="preserve">At the exit location to keep the pipe string within the designated construction easement two strings </w:t>
            </w:r>
            <w:r w:rsidR="00EF4069">
              <w:t>would</w:t>
            </w:r>
            <w:r w:rsidRPr="00E54EB2">
              <w:t xml:space="preserve"> be required as there is not enough room beyond the exit point location before the pipe alignment turns to the west.</w:t>
            </w:r>
          </w:p>
          <w:p w14:paraId="17110EDF" w14:textId="68D16B26" w:rsidR="009D21AF" w:rsidRPr="009D21AF" w:rsidRDefault="009D21AF" w:rsidP="009369DB">
            <w:pPr>
              <w:pStyle w:val="TableText"/>
              <w:cnfStyle w:val="000000000000" w:firstRow="0" w:lastRow="0" w:firstColumn="0" w:lastColumn="0" w:oddVBand="0" w:evenVBand="0" w:oddHBand="0" w:evenHBand="0" w:firstRowFirstColumn="0" w:firstRowLastColumn="0" w:lastRowFirstColumn="0" w:lastRowLastColumn="0"/>
            </w:pPr>
            <w:r w:rsidRPr="009D21AF">
              <w:rPr>
                <w:rStyle w:val="Bold"/>
              </w:rPr>
              <w:t>Merri Creek:</w:t>
            </w:r>
            <w:r w:rsidRPr="009D21AF">
              <w:t xml:space="preserve"> Pipe string would be kept within the designated construction corridor as the pipeline alignment is straight (</w:t>
            </w:r>
            <w:r w:rsidR="00682232">
              <w:t xml:space="preserve">additional space </w:t>
            </w:r>
            <w:r w:rsidRPr="009D21AF">
              <w:t>so no additional space required for HDD stringing</w:t>
            </w:r>
            <w:r w:rsidR="00682232">
              <w:t xml:space="preserve"> is not required</w:t>
            </w:r>
            <w:r w:rsidRPr="009D21AF">
              <w:t>).</w:t>
            </w:r>
          </w:p>
          <w:p w14:paraId="47A06745" w14:textId="2CCB8A0B" w:rsidR="004B4595" w:rsidRDefault="009D21AF" w:rsidP="009369DB">
            <w:pPr>
              <w:pStyle w:val="TableText"/>
              <w:cnfStyle w:val="000000000000" w:firstRow="0" w:lastRow="0" w:firstColumn="0" w:lastColumn="0" w:oddVBand="0" w:evenVBand="0" w:oddHBand="0" w:evenHBand="0" w:firstRowFirstColumn="0" w:firstRowLastColumn="0" w:lastRowFirstColumn="0" w:lastRowLastColumn="0"/>
            </w:pPr>
            <w:proofErr w:type="gramStart"/>
            <w:r w:rsidRPr="009D21AF">
              <w:t>A</w:t>
            </w:r>
            <w:proofErr w:type="gramEnd"/>
            <w:r w:rsidRPr="009D21AF">
              <w:t xml:space="preserve"> HDD option would </w:t>
            </w:r>
            <w:r w:rsidR="00682232">
              <w:t>require</w:t>
            </w:r>
            <w:r w:rsidRPr="009D21AF">
              <w:t xml:space="preserve"> a</w:t>
            </w:r>
            <w:r w:rsidR="00334677">
              <w:t>n access track</w:t>
            </w:r>
            <w:r w:rsidRPr="009D21AF">
              <w:t xml:space="preserve"> </w:t>
            </w:r>
            <w:r w:rsidR="00550593">
              <w:t xml:space="preserve">for </w:t>
            </w:r>
            <w:r w:rsidRPr="009D21AF">
              <w:t>construction of the pipeline between the Merri Creek and Beveridge railway crossing</w:t>
            </w:r>
            <w:r w:rsidR="00550593">
              <w:t xml:space="preserve"> </w:t>
            </w:r>
            <w:r w:rsidR="00550593" w:rsidRPr="00550593">
              <w:t>to the north of Merri Creek (between approximately KP 41 to KP43)</w:t>
            </w:r>
            <w:r w:rsidRPr="009D21AF">
              <w:t xml:space="preserve">. </w:t>
            </w:r>
            <w:r w:rsidR="007F14D6">
              <w:t>APA has considered</w:t>
            </w:r>
            <w:r w:rsidR="004B4595">
              <w:t xml:space="preserve"> two options for</w:t>
            </w:r>
            <w:r w:rsidR="00550593" w:rsidRPr="00550593">
              <w:t xml:space="preserve"> access to complete all works between KP 41 - KP 43</w:t>
            </w:r>
            <w:r w:rsidR="004B4595">
              <w:t>:</w:t>
            </w:r>
          </w:p>
          <w:p w14:paraId="2458A18D" w14:textId="7A06E5A9" w:rsidR="007F14D6" w:rsidRPr="00550593" w:rsidRDefault="004A4B5C" w:rsidP="003A214F">
            <w:pPr>
              <w:pStyle w:val="TableBullet1"/>
              <w:cnfStyle w:val="000000000000" w:firstRow="0" w:lastRow="0" w:firstColumn="0" w:lastColumn="0" w:oddVBand="0" w:evenVBand="0" w:oddHBand="0" w:evenHBand="0" w:firstRowFirstColumn="0" w:firstRowLastColumn="0" w:lastRowFirstColumn="0" w:lastRowLastColumn="0"/>
            </w:pPr>
            <w:r w:rsidRPr="00550593">
              <w:t>Option 1 - utilise the VNIE easement to construct a</w:t>
            </w:r>
            <w:r w:rsidR="00334677" w:rsidRPr="00550593">
              <w:t xml:space="preserve"> new</w:t>
            </w:r>
            <w:r w:rsidRPr="00550593">
              <w:t xml:space="preserve"> access track</w:t>
            </w:r>
            <w:r w:rsidR="00334677" w:rsidRPr="00550593">
              <w:t xml:space="preserve"> (3.4 km length x 5-10 m wide) from Beveridge Road</w:t>
            </w:r>
            <w:r w:rsidRPr="00550593">
              <w:t>. This would require a larger construction footprint</w:t>
            </w:r>
            <w:r w:rsidR="00550593">
              <w:t xml:space="preserve"> </w:t>
            </w:r>
            <w:r w:rsidR="00550593" w:rsidRPr="00550593">
              <w:t>to be utilised with</w:t>
            </w:r>
            <w:r w:rsidRPr="00550593">
              <w:t xml:space="preserve"> additional impacts </w:t>
            </w:r>
            <w:r w:rsidR="00550593" w:rsidRPr="00550593">
              <w:t xml:space="preserve">from the stripping topsoil and vegetation removal to create an all-weather access track for construction. This will also require </w:t>
            </w:r>
            <w:r w:rsidRPr="00550593">
              <w:t xml:space="preserve">negotiations with </w:t>
            </w:r>
            <w:r w:rsidR="00550593">
              <w:t xml:space="preserve">new </w:t>
            </w:r>
            <w:r w:rsidRPr="00550593">
              <w:t>landowners</w:t>
            </w:r>
            <w:r w:rsidR="00550593">
              <w:t xml:space="preserve"> </w:t>
            </w:r>
            <w:r w:rsidR="00550593" w:rsidRPr="00550593">
              <w:t>for the Project along the access track within the VNIE easement.</w:t>
            </w:r>
          </w:p>
          <w:p w14:paraId="30377893" w14:textId="58ECA655" w:rsidR="004A4B5C" w:rsidRPr="00550593" w:rsidRDefault="004A4B5C" w:rsidP="003A214F">
            <w:pPr>
              <w:pStyle w:val="TableBullet1"/>
              <w:cnfStyle w:val="000000000000" w:firstRow="0" w:lastRow="0" w:firstColumn="0" w:lastColumn="0" w:oddVBand="0" w:evenVBand="0" w:oddHBand="0" w:evenHBand="0" w:firstRowFirstColumn="0" w:firstRowLastColumn="0" w:lastRowFirstColumn="0" w:lastRowLastColumn="0"/>
            </w:pPr>
            <w:r w:rsidRPr="00550593">
              <w:t xml:space="preserve">Option 2 - </w:t>
            </w:r>
            <w:r w:rsidR="00550593">
              <w:t xml:space="preserve">install </w:t>
            </w:r>
            <w:r w:rsidRPr="00550593">
              <w:t>temporary access track over Merri Creek</w:t>
            </w:r>
            <w:r w:rsidR="00550593">
              <w:t xml:space="preserve"> </w:t>
            </w:r>
            <w:r w:rsidR="00550593" w:rsidRPr="00550593">
              <w:t>with a 5-10</w:t>
            </w:r>
            <w:r w:rsidR="00550593">
              <w:t xml:space="preserve"> </w:t>
            </w:r>
            <w:r w:rsidR="00550593" w:rsidRPr="00550593">
              <w:t>m</w:t>
            </w:r>
            <w:r w:rsidR="00550593">
              <w:t>etre</w:t>
            </w:r>
            <w:r w:rsidR="00550593" w:rsidRPr="00550593">
              <w:t xml:space="preserve"> width</w:t>
            </w:r>
            <w:r w:rsidRPr="00550593">
              <w:t>. This would require stripping of topsoil</w:t>
            </w:r>
            <w:r w:rsidR="00334677" w:rsidRPr="00550593">
              <w:t xml:space="preserve"> and vegetation removal directly in and on either side of Merri Creek. This would also require</w:t>
            </w:r>
            <w:r w:rsidRPr="00550593">
              <w:t xml:space="preserve"> placement of rock and </w:t>
            </w:r>
            <w:r w:rsidR="0013296E">
              <w:t xml:space="preserve">flume </w:t>
            </w:r>
            <w:r w:rsidRPr="00550593">
              <w:t xml:space="preserve">pipe in the creek to facilitate temporary </w:t>
            </w:r>
            <w:r w:rsidR="0013296E">
              <w:t xml:space="preserve">access for construction. </w:t>
            </w:r>
          </w:p>
          <w:p w14:paraId="052B7568" w14:textId="3F1BA38E" w:rsidR="0013296E" w:rsidRDefault="0013296E" w:rsidP="009369DB">
            <w:pPr>
              <w:pStyle w:val="TableText"/>
              <w:cnfStyle w:val="000000000000" w:firstRow="0" w:lastRow="0" w:firstColumn="0" w:lastColumn="0" w:oddVBand="0" w:evenVBand="0" w:oddHBand="0" w:evenHBand="0" w:firstRowFirstColumn="0" w:firstRowLastColumn="0" w:lastRowFirstColumn="0" w:lastRowLastColumn="0"/>
            </w:pPr>
            <w:r w:rsidRPr="0013296E">
              <w:t>Utilising Merri Creek via Option 2 to get access will have a smaller footprint rather than introducing a 3.4</w:t>
            </w:r>
            <w:r>
              <w:t xml:space="preserve"> </w:t>
            </w:r>
            <w:r w:rsidRPr="0013296E">
              <w:t>km access track as described in Option 1.</w:t>
            </w:r>
          </w:p>
          <w:p w14:paraId="1A9ECD70" w14:textId="6F27527A" w:rsidR="00E54EB2" w:rsidRDefault="009F7CFA" w:rsidP="009369DB">
            <w:pPr>
              <w:pStyle w:val="TableText"/>
              <w:cnfStyle w:val="000000000000" w:firstRow="0" w:lastRow="0" w:firstColumn="0" w:lastColumn="0" w:oddVBand="0" w:evenVBand="0" w:oddHBand="0" w:evenHBand="0" w:firstRowFirstColumn="0" w:firstRowLastColumn="0" w:lastRowFirstColumn="0" w:lastRowLastColumn="0"/>
            </w:pPr>
            <w:r w:rsidRPr="009F7CFA">
              <w:t xml:space="preserve">An open </w:t>
            </w:r>
            <w:r w:rsidR="00A77D85">
              <w:t>trench</w:t>
            </w:r>
            <w:r w:rsidRPr="009F7CFA">
              <w:t xml:space="preserve"> option </w:t>
            </w:r>
            <w:r w:rsidR="009D21AF" w:rsidRPr="009D21AF">
              <w:t xml:space="preserve">would not require </w:t>
            </w:r>
            <w:r w:rsidR="004B4595">
              <w:t>use of the VNIE easement to create an additional access track (as per option 1)</w:t>
            </w:r>
            <w:r w:rsidR="0013296E">
              <w:t xml:space="preserve"> </w:t>
            </w:r>
            <w:r w:rsidR="009D21AF" w:rsidRPr="009D21AF">
              <w:t>an additional</w:t>
            </w:r>
            <w:r w:rsidRPr="009F7CFA">
              <w:t xml:space="preserve"> access track, as APA would utilise the construction </w:t>
            </w:r>
            <w:r w:rsidR="00A77D85">
              <w:t>corridor</w:t>
            </w:r>
            <w:r w:rsidRPr="009F7CFA">
              <w:t xml:space="preserve"> for access (south of Merri Creek from Donnybrook Road).</w:t>
            </w:r>
            <w:r w:rsidR="009C199B">
              <w:t xml:space="preserve"> The construction footprint required for an open </w:t>
            </w:r>
            <w:r w:rsidR="009D21AF" w:rsidRPr="009D21AF">
              <w:t>trench</w:t>
            </w:r>
            <w:r w:rsidR="009C199B">
              <w:t xml:space="preserve"> option would be </w:t>
            </w:r>
            <w:r w:rsidR="0013296E" w:rsidRPr="0013296E">
              <w:t>reduced to 25</w:t>
            </w:r>
            <w:r w:rsidR="0013296E">
              <w:t xml:space="preserve"> </w:t>
            </w:r>
            <w:r w:rsidR="0013296E" w:rsidRPr="0013296E">
              <w:t>m</w:t>
            </w:r>
            <w:r w:rsidR="0013296E">
              <w:t>etres</w:t>
            </w:r>
            <w:r w:rsidR="0013296E" w:rsidRPr="0013296E">
              <w:t xml:space="preserve"> width corridor directly within the Creek to minimise impacts. This is proposed to occur </w:t>
            </w:r>
            <w:r w:rsidR="0013296E">
              <w:t xml:space="preserve">in a </w:t>
            </w:r>
            <w:r w:rsidR="009D21AF" w:rsidRPr="009D21AF">
              <w:t xml:space="preserve">previously disturbed section of the </w:t>
            </w:r>
            <w:r w:rsidR="009C199B">
              <w:t>creek corridor</w:t>
            </w:r>
            <w:r w:rsidR="009D21AF" w:rsidRPr="009D21AF">
              <w:t xml:space="preserve"> which is an existing APA easement</w:t>
            </w:r>
            <w:r w:rsidR="00563D40">
              <w:t xml:space="preserve">. </w:t>
            </w:r>
            <w:r w:rsidR="007F14D6">
              <w:t xml:space="preserve">This is a smaller footprint than </w:t>
            </w:r>
            <w:r w:rsidR="0013296E">
              <w:t>O</w:t>
            </w:r>
            <w:r w:rsidR="007F14D6">
              <w:t xml:space="preserve">ption 1 and a similar footprint to </w:t>
            </w:r>
            <w:r w:rsidR="0013296E">
              <w:t>O</w:t>
            </w:r>
            <w:r w:rsidR="007F14D6">
              <w:t>ption 2.</w:t>
            </w:r>
          </w:p>
          <w:p w14:paraId="5FA9B9D0" w14:textId="0C9C7DB8" w:rsidR="0013296E" w:rsidRDefault="0013296E" w:rsidP="009369DB">
            <w:pPr>
              <w:pStyle w:val="TableText"/>
              <w:cnfStyle w:val="000000000000" w:firstRow="0" w:lastRow="0" w:firstColumn="0" w:lastColumn="0" w:oddVBand="0" w:evenVBand="0" w:oddHBand="0" w:evenHBand="0" w:firstRowFirstColumn="0" w:firstRowLastColumn="0" w:lastRowFirstColumn="0" w:lastRowLastColumn="0"/>
            </w:pPr>
            <w:r w:rsidRPr="0013296E">
              <w:t>To avoid any direct impacts on Merri Creek a 3.4km access track will need to be constructed to the north of the creek to complete all works between KP 41 to KP43.</w:t>
            </w:r>
          </w:p>
        </w:tc>
      </w:tr>
      <w:tr w:rsidR="00B03CB4" w14:paraId="55F43F3C"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0C2E5D58" w14:textId="597DDCBB" w:rsidR="00B03CB4" w:rsidRPr="009F7CFA" w:rsidRDefault="00B03CB4" w:rsidP="003A214F">
            <w:pPr>
              <w:pStyle w:val="TableText"/>
            </w:pPr>
            <w:r w:rsidRPr="009F7CFA">
              <w:lastRenderedPageBreak/>
              <w:t>6</w:t>
            </w:r>
          </w:p>
        </w:tc>
        <w:tc>
          <w:tcPr>
            <w:tcW w:w="2513" w:type="dxa"/>
          </w:tcPr>
          <w:p w14:paraId="69BFBDAD" w14:textId="28EEF58D" w:rsidR="00B03CB4" w:rsidRPr="009F7CFA" w:rsidRDefault="00B03CB4"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F7CFA">
              <w:rPr>
                <w:rStyle w:val="Bold"/>
              </w:rPr>
              <w:t>Environmental conditions and geomorphology</w:t>
            </w:r>
            <w:r>
              <w:rPr>
                <w:rStyle w:val="Bold"/>
              </w:rPr>
              <w:t xml:space="preserve"> </w:t>
            </w:r>
            <w:r>
              <w:t>–</w:t>
            </w:r>
            <w:r>
              <w:rPr>
                <w:rStyle w:val="Bold"/>
              </w:rPr>
              <w:t xml:space="preserve"> </w:t>
            </w:r>
            <w:r w:rsidRPr="0050608F">
              <w:t>environmental conditions can include terrestrial and aquatic habitat, flow conditions, slope and geomorphology of the riverbed and riverbanks, which can influence the type of construction technique considered.</w:t>
            </w:r>
          </w:p>
        </w:tc>
        <w:tc>
          <w:tcPr>
            <w:tcW w:w="6230" w:type="dxa"/>
          </w:tcPr>
          <w:p w14:paraId="23210237" w14:textId="77777777" w:rsidR="00B03CB4" w:rsidRDefault="00B03CB4"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F7CFA">
              <w:rPr>
                <w:rStyle w:val="Bold"/>
              </w:rPr>
              <w:t xml:space="preserve">Jacksons Creek: </w:t>
            </w:r>
            <w:bookmarkStart w:id="80" w:name="_Hlk70499127"/>
            <w:r w:rsidRPr="00612E89">
              <w:rPr>
                <w:rStyle w:val="Removedirectformatting"/>
              </w:rPr>
              <w:t xml:space="preserve">The riparian </w:t>
            </w:r>
            <w:r>
              <w:rPr>
                <w:rStyle w:val="Removedirectformatting"/>
              </w:rPr>
              <w:t xml:space="preserve">woodland </w:t>
            </w:r>
            <w:r w:rsidRPr="00612E89">
              <w:rPr>
                <w:rStyle w:val="Removedirectformatting"/>
              </w:rPr>
              <w:t>vegetation on the west bank is intact, dense and has a healthy mix of deep-rooted trees and ground cover vegetation. The east bank is more open and exposed with limited ground storey vegetation.</w:t>
            </w:r>
            <w:bookmarkEnd w:id="80"/>
            <w:r>
              <w:rPr>
                <w:rStyle w:val="Removedirectformatting"/>
              </w:rPr>
              <w:t xml:space="preserve"> </w:t>
            </w:r>
            <w:r w:rsidRPr="003E69E9">
              <w:t xml:space="preserve">The field assessment recorded scattered native shrub and tree species </w:t>
            </w:r>
            <w:r>
              <w:t>(</w:t>
            </w:r>
            <w:r w:rsidRPr="00612E89">
              <w:rPr>
                <w:rStyle w:val="Italics"/>
              </w:rPr>
              <w:t>Eucalyptus</w:t>
            </w:r>
            <w:r>
              <w:t xml:space="preserve"> species) </w:t>
            </w:r>
            <w:r w:rsidRPr="003E69E9">
              <w:t>flanking Jacksons Creek</w:t>
            </w:r>
            <w:r>
              <w:t xml:space="preserve"> in the vicinity of the proposed waterway crossing. </w:t>
            </w:r>
            <w:r w:rsidRPr="003E69E9">
              <w:rPr>
                <w:rStyle w:val="Removedirectformatting"/>
              </w:rPr>
              <w:t>Large trees which provide important habitat value have also been recorded</w:t>
            </w:r>
            <w:r>
              <w:rPr>
                <w:rStyle w:val="Removedirectformatting"/>
              </w:rPr>
              <w:t xml:space="preserve"> inside (one) and near the construction corridor</w:t>
            </w:r>
            <w:r w:rsidRPr="003E69E9">
              <w:rPr>
                <w:rStyle w:val="Removedirectformatting"/>
              </w:rPr>
              <w:t>.</w:t>
            </w:r>
            <w:r>
              <w:rPr>
                <w:rStyle w:val="Removedirectformatting"/>
              </w:rPr>
              <w:t xml:space="preserve"> S</w:t>
            </w:r>
            <w:r w:rsidRPr="006A5772">
              <w:t xml:space="preserve">ome clearing of vegetation </w:t>
            </w:r>
            <w:r>
              <w:t>is</w:t>
            </w:r>
            <w:r w:rsidRPr="006A5772">
              <w:t xml:space="preserve"> evident</w:t>
            </w:r>
            <w:r>
              <w:t xml:space="preserve"> and</w:t>
            </w:r>
            <w:r w:rsidRPr="006A5772">
              <w:t xml:space="preserve"> </w:t>
            </w:r>
            <w:r>
              <w:t>the pipeline crossing falls in the most degraded part of the creek, where Growling Grass Frogs are least likely to occur. Open trench construction would disturb Growling Grass Frog habitat whereas HDD would not. Platypus are known to be present in Jacksons Creek. However, t</w:t>
            </w:r>
            <w:r w:rsidRPr="00FE3B8F">
              <w:rPr>
                <w:rStyle w:val="Removedirectformatting"/>
              </w:rPr>
              <w:t>he field assessment indicated the overall condition of the waterway is poor</w:t>
            </w:r>
            <w:r>
              <w:rPr>
                <w:rStyle w:val="Removedirectformatting"/>
              </w:rPr>
              <w:t>, with the presence of a silt layer in-stream further lowering the quality of habitat present at this waterway.</w:t>
            </w:r>
            <w:r>
              <w:t xml:space="preserve"> I</w:t>
            </w:r>
            <w:r w:rsidRPr="00880CE1">
              <w:t xml:space="preserve">mpacts associated with open trench construction </w:t>
            </w:r>
            <w:r>
              <w:t xml:space="preserve">at Jacksons Creek </w:t>
            </w:r>
            <w:r w:rsidRPr="00880CE1">
              <w:t xml:space="preserve">on flora and fauna values are assessed in </w:t>
            </w:r>
            <w:r>
              <w:t>7</w:t>
            </w:r>
            <w:r w:rsidRPr="00EF71B1">
              <w:t>.6.4, 7.6.6 and 7.6.8 o</w:t>
            </w:r>
            <w:r>
              <w:t>f</w:t>
            </w:r>
            <w:r w:rsidRPr="00EF71B1">
              <w:t xml:space="preserve"> </w:t>
            </w:r>
            <w:r w:rsidRPr="00880CE1">
              <w:t xml:space="preserve">Chapter 7 </w:t>
            </w:r>
            <w:r w:rsidRPr="00880CE1">
              <w:rPr>
                <w:rStyle w:val="Italics"/>
              </w:rPr>
              <w:t>Biodiversity.</w:t>
            </w:r>
          </w:p>
          <w:p w14:paraId="445ECBD3" w14:textId="77777777" w:rsidR="00B03CB4" w:rsidRDefault="00B03CB4"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bookmarkStart w:id="81" w:name="_Hlk70499160"/>
            <w:r w:rsidRPr="00612E89">
              <w:rPr>
                <w:rStyle w:val="Removedirectformatting"/>
              </w:rPr>
              <w:t xml:space="preserve">Within the upstream reach there is a sharp meander bend in the creek and some minor erosion of the stream banks evident. A grade rock structure providing protection to the stream bed </w:t>
            </w:r>
            <w:r>
              <w:rPr>
                <w:rStyle w:val="Removedirectformatting"/>
              </w:rPr>
              <w:t>is located</w:t>
            </w:r>
            <w:r w:rsidRPr="00612E89">
              <w:rPr>
                <w:rStyle w:val="Removedirectformatting"/>
              </w:rPr>
              <w:t xml:space="preserve"> immediately upstream of the Project. The Project location is within a relative straightened reach of stream. Two sections of riffles are characterised by shallow depths with fast, turbulent water agitated by rocks and vegetation. </w:t>
            </w:r>
          </w:p>
          <w:p w14:paraId="03BE4150" w14:textId="77777777" w:rsidR="00B03CB4" w:rsidRPr="00C45488" w:rsidRDefault="00B03CB4" w:rsidP="003A214F">
            <w:pPr>
              <w:pStyle w:val="TableText"/>
              <w:cnfStyle w:val="000000000000" w:firstRow="0" w:lastRow="0" w:firstColumn="0" w:lastColumn="0" w:oddVBand="0" w:evenVBand="0" w:oddHBand="0" w:evenHBand="0" w:firstRowFirstColumn="0" w:firstRowLastColumn="0" w:lastRowFirstColumn="0" w:lastRowLastColumn="0"/>
            </w:pPr>
            <w:r w:rsidRPr="00612E89">
              <w:rPr>
                <w:rStyle w:val="Removedirectformatting"/>
              </w:rPr>
              <w:t>The reach scale geomorphology at Jacksons Creek contains alluvial terraces on both sides of the stream and is known to be sensitive and therefore some ongoing bed and bank erosion processes are expected.</w:t>
            </w:r>
            <w:r>
              <w:rPr>
                <w:rStyle w:val="Removedirectformatting"/>
              </w:rPr>
              <w:t xml:space="preserve"> </w:t>
            </w:r>
            <w:bookmarkEnd w:id="81"/>
            <w:r w:rsidRPr="008672AE">
              <w:t>The modelled channel velocities</w:t>
            </w:r>
            <w:r w:rsidRPr="00047C8A">
              <w:t xml:space="preserve"> are greater than 1.5 m/s and </w:t>
            </w:r>
            <w:r>
              <w:t>water pressure is</w:t>
            </w:r>
            <w:r w:rsidRPr="00047C8A">
              <w:t xml:space="preserve"> greater than 300 </w:t>
            </w:r>
            <w:r>
              <w:t>newton per square metre (</w:t>
            </w:r>
            <w:r w:rsidRPr="00047C8A">
              <w:t>Nm</w:t>
            </w:r>
            <w:r w:rsidRPr="0081742E">
              <w:rPr>
                <w:vertAlign w:val="superscript"/>
              </w:rPr>
              <w:t>2</w:t>
            </w:r>
            <w:r>
              <w:t>)</w:t>
            </w:r>
            <w:r w:rsidRPr="00047C8A">
              <w:t>, indicating a relatively high potential for stream bed and bank erosion.</w:t>
            </w:r>
            <w:r>
              <w:t xml:space="preserve"> Given </w:t>
            </w:r>
            <w:r w:rsidRPr="00E54331">
              <w:t>the steep gradient of the channel within this reach and steepening of the gradient moving further upstream form the Maribyrnong confluence, there is a higher erosion potential for Jacksons Creek compared to</w:t>
            </w:r>
            <w:r w:rsidRPr="00047C8A">
              <w:t xml:space="preserve"> Deep Creek</w:t>
            </w:r>
            <w:r>
              <w:t xml:space="preserve"> or Merri Creek</w:t>
            </w:r>
            <w:r w:rsidRPr="00047C8A">
              <w:t xml:space="preserve">. </w:t>
            </w:r>
            <w:r w:rsidRPr="00C45488">
              <w:t>Specific additional control measures would need to be developed to reduce the likelihood of erosion at the Jacksons Creek crossing.</w:t>
            </w:r>
            <w:r>
              <w:t xml:space="preserve"> Erosion impacts to river health, surrounding property and infrastructure associated with open trench construction at Jacksons Creek are assessed in section 8.8.3 of Chapter 8 </w:t>
            </w:r>
            <w:r w:rsidRPr="004A499F">
              <w:rPr>
                <w:rStyle w:val="Italics"/>
              </w:rPr>
              <w:t>Water</w:t>
            </w:r>
            <w:r>
              <w:t>.</w:t>
            </w:r>
          </w:p>
          <w:p w14:paraId="2405D699" w14:textId="77777777" w:rsidR="00B03CB4" w:rsidRDefault="00B03CB4"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F7CFA">
              <w:rPr>
                <w:noProof/>
              </w:rPr>
              <w:drawing>
                <wp:inline distT="0" distB="0" distL="0" distR="0" wp14:anchorId="0E6F11C3" wp14:editId="0D4C4B7A">
                  <wp:extent cx="2760246" cy="2070339"/>
                  <wp:effectExtent l="0" t="0" r="2540" b="635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8418" cy="2083969"/>
                          </a:xfrm>
                          <a:prstGeom prst="rect">
                            <a:avLst/>
                          </a:prstGeom>
                        </pic:spPr>
                      </pic:pic>
                    </a:graphicData>
                  </a:graphic>
                </wp:inline>
              </w:drawing>
            </w:r>
          </w:p>
          <w:p w14:paraId="7BDC8556" w14:textId="75A9CF69" w:rsidR="00B03CB4" w:rsidRPr="009F7CFA" w:rsidRDefault="00B03CB4" w:rsidP="003A214F">
            <w:pPr>
              <w:pStyle w:val="Source"/>
              <w:spacing w:before="60" w:after="60"/>
              <w:cnfStyle w:val="000000000000" w:firstRow="0" w:lastRow="0" w:firstColumn="0" w:lastColumn="0" w:oddVBand="0" w:evenVBand="0" w:oddHBand="0" w:evenHBand="0" w:firstRowFirstColumn="0" w:firstRowLastColumn="0" w:lastRowFirstColumn="0" w:lastRowLastColumn="0"/>
              <w:rPr>
                <w:rStyle w:val="Bold"/>
              </w:rPr>
            </w:pPr>
            <w:r w:rsidRPr="00B03CB4">
              <w:t>Jacksons Creek looking east, immediately downstream of crossing location. Source: site photo (GHD, 2020)</w:t>
            </w:r>
          </w:p>
        </w:tc>
      </w:tr>
      <w:tr w:rsidR="00B03CB4" w14:paraId="620D08F5"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3C9554C6" w14:textId="77777777" w:rsidR="00B03CB4" w:rsidRPr="009F7CFA" w:rsidRDefault="00B03CB4" w:rsidP="003A214F">
            <w:pPr>
              <w:pStyle w:val="TableText"/>
            </w:pPr>
          </w:p>
        </w:tc>
        <w:tc>
          <w:tcPr>
            <w:tcW w:w="2513" w:type="dxa"/>
          </w:tcPr>
          <w:p w14:paraId="47E20CEA" w14:textId="77777777" w:rsidR="00B03CB4" w:rsidRPr="009F7CFA" w:rsidRDefault="00B03CB4"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p>
        </w:tc>
        <w:tc>
          <w:tcPr>
            <w:tcW w:w="6230" w:type="dxa"/>
          </w:tcPr>
          <w:p w14:paraId="0AC58AED" w14:textId="77777777" w:rsidR="00345C12" w:rsidRDefault="00345C12"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F7CFA">
              <w:rPr>
                <w:rStyle w:val="Bold"/>
              </w:rPr>
              <w:t xml:space="preserve">Deep Creek: </w:t>
            </w:r>
            <w:r w:rsidRPr="00612E89">
              <w:rPr>
                <w:rStyle w:val="Removedirectformatting"/>
              </w:rPr>
              <w:t>The riparian</w:t>
            </w:r>
            <w:r>
              <w:rPr>
                <w:rStyle w:val="Removedirectformatting"/>
              </w:rPr>
              <w:t xml:space="preserve"> woodland</w:t>
            </w:r>
            <w:r w:rsidRPr="00612E89">
              <w:rPr>
                <w:rStyle w:val="Removedirectformatting"/>
              </w:rPr>
              <w:t xml:space="preserve"> vegetation of both banks is intact, dense and has a healthy mix of deep-rooted trees and ground cover vegetation. On the west side the riparian zone is protected, and the east bank is more exposed.</w:t>
            </w:r>
            <w:r>
              <w:rPr>
                <w:rStyle w:val="Removedirectformatting"/>
              </w:rPr>
              <w:t xml:space="preserve"> </w:t>
            </w:r>
            <w:r w:rsidRPr="00612E89">
              <w:rPr>
                <w:rStyle w:val="Removedirectformatting"/>
              </w:rPr>
              <w:t>The field assessment recorded scattered native shrub and tree species (</w:t>
            </w:r>
            <w:r w:rsidRPr="00145834">
              <w:rPr>
                <w:rStyle w:val="Italics"/>
              </w:rPr>
              <w:t>Eucalyptus</w:t>
            </w:r>
            <w:r w:rsidRPr="00612E89">
              <w:rPr>
                <w:rStyle w:val="Removedirectformatting"/>
              </w:rPr>
              <w:t xml:space="preserve"> species) flanking Deep Creek in the vicinity of the proposed waterway crossing</w:t>
            </w:r>
            <w:r>
              <w:rPr>
                <w:rStyle w:val="Removedirectformatting"/>
              </w:rPr>
              <w:t xml:space="preserve">. </w:t>
            </w:r>
            <w:r w:rsidRPr="00FE3B8F">
              <w:rPr>
                <w:rStyle w:val="Removedirectformatting"/>
              </w:rPr>
              <w:t>Large trees which provide important habitat value have also been recorded</w:t>
            </w:r>
            <w:r>
              <w:rPr>
                <w:rStyle w:val="Removedirectformatting"/>
              </w:rPr>
              <w:t xml:space="preserve"> both inside and near to the construction corridor</w:t>
            </w:r>
            <w:r w:rsidRPr="00FE3B8F">
              <w:rPr>
                <w:rStyle w:val="Removedirectformatting"/>
              </w:rPr>
              <w:t>. Growling Grass Frog</w:t>
            </w:r>
            <w:r w:rsidRPr="00612E89">
              <w:rPr>
                <w:rStyle w:val="Removedirectformatting"/>
              </w:rPr>
              <w:t xml:space="preserve">s have been recorded within Deep Creek. </w:t>
            </w:r>
            <w:r>
              <w:rPr>
                <w:rStyle w:val="Removedirectformatting"/>
              </w:rPr>
              <w:t xml:space="preserve">There is a low likelihood of platypus being present in Deep Creek. </w:t>
            </w:r>
            <w:r w:rsidRPr="00612E89">
              <w:rPr>
                <w:rStyle w:val="Removedirectformatting"/>
              </w:rPr>
              <w:t xml:space="preserve">The field assessment </w:t>
            </w:r>
            <w:r>
              <w:rPr>
                <w:rStyle w:val="Removedirectformatting"/>
              </w:rPr>
              <w:t xml:space="preserve">indicated the overall condition of the waterway is poor. </w:t>
            </w:r>
          </w:p>
          <w:p w14:paraId="576F6842" w14:textId="77777777" w:rsidR="00345C12" w:rsidRDefault="00345C12"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12E89">
              <w:rPr>
                <w:rStyle w:val="Removedirectformatting"/>
              </w:rPr>
              <w:t xml:space="preserve">The Project crossing location is within a relatively straightened section of the stream which extends from the Emu Creek confluence upstream and continues downstream. There is a section of riffles characterised by shallow depths with fast, turbulent water agitated by rocks and vegetation. </w:t>
            </w:r>
          </w:p>
          <w:p w14:paraId="67FF94B9" w14:textId="77777777" w:rsidR="00345C12" w:rsidRPr="00612E89" w:rsidRDefault="00345C12"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12E89">
              <w:rPr>
                <w:rStyle w:val="Removedirectformatting"/>
              </w:rPr>
              <w:t>The reach scale geomorphology at Deep Creek also contains alluvial terraces and is known to be sensitive and therefore some ongoing bed and bank erosion processes are expected.</w:t>
            </w:r>
            <w:r>
              <w:rPr>
                <w:rStyle w:val="Removedirectformatting"/>
              </w:rPr>
              <w:t xml:space="preserve"> </w:t>
            </w:r>
            <w:r w:rsidRPr="008672AE">
              <w:t>The modelled channel velocities</w:t>
            </w:r>
            <w:r w:rsidRPr="00047C8A">
              <w:t xml:space="preserve"> are </w:t>
            </w:r>
            <w:r>
              <w:t>greater</w:t>
            </w:r>
            <w:r w:rsidRPr="00047C8A">
              <w:t xml:space="preserve"> than 1.5 m/s and stream powers are </w:t>
            </w:r>
            <w:r>
              <w:t>greater than 300 Nm</w:t>
            </w:r>
            <w:r w:rsidRPr="00F4218E">
              <w:rPr>
                <w:vertAlign w:val="superscript"/>
              </w:rPr>
              <w:t>2</w:t>
            </w:r>
            <w:r w:rsidRPr="00047C8A">
              <w:t xml:space="preserve">, indicating a </w:t>
            </w:r>
            <w:r>
              <w:t>relatively high</w:t>
            </w:r>
            <w:r w:rsidRPr="00047C8A">
              <w:t xml:space="preserve"> potential for stream bed and bank erosion. </w:t>
            </w:r>
          </w:p>
          <w:p w14:paraId="52F97ADC" w14:textId="77777777" w:rsidR="00345C12" w:rsidRPr="009F7CFA" w:rsidRDefault="00345C12"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F7CFA">
              <w:rPr>
                <w:noProof/>
              </w:rPr>
              <w:drawing>
                <wp:inline distT="0" distB="0" distL="0" distR="0" wp14:anchorId="264B7909" wp14:editId="0EBAA98F">
                  <wp:extent cx="2737449" cy="2053087"/>
                  <wp:effectExtent l="0" t="0" r="6350" b="4445"/>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609" cy="2057707"/>
                          </a:xfrm>
                          <a:prstGeom prst="rect">
                            <a:avLst/>
                          </a:prstGeom>
                        </pic:spPr>
                      </pic:pic>
                    </a:graphicData>
                  </a:graphic>
                </wp:inline>
              </w:drawing>
            </w:r>
          </w:p>
          <w:p w14:paraId="461656CE" w14:textId="564D7234" w:rsidR="00B03CB4" w:rsidRPr="009F7CFA" w:rsidRDefault="00345C12" w:rsidP="003A214F">
            <w:pPr>
              <w:pStyle w:val="Source"/>
              <w:spacing w:before="60" w:after="60"/>
              <w:cnfStyle w:val="000000000000" w:firstRow="0" w:lastRow="0" w:firstColumn="0" w:lastColumn="0" w:oddVBand="0" w:evenVBand="0" w:oddHBand="0" w:evenHBand="0" w:firstRowFirstColumn="0" w:firstRowLastColumn="0" w:lastRowFirstColumn="0" w:lastRowLastColumn="0"/>
              <w:rPr>
                <w:rStyle w:val="Bold"/>
              </w:rPr>
            </w:pPr>
            <w:r w:rsidRPr="00345C12">
              <w:t>Deep Creek looking west at crossing location. Source: site photo (GHD, 2020)</w:t>
            </w:r>
          </w:p>
        </w:tc>
      </w:tr>
      <w:tr w:rsidR="009F7CFA" w14:paraId="300B33A6"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280B515C" w14:textId="1DBC3D06" w:rsidR="009F7CFA" w:rsidRPr="009F7CFA" w:rsidRDefault="009F7CFA" w:rsidP="003A214F">
            <w:pPr>
              <w:pStyle w:val="TableText"/>
            </w:pPr>
          </w:p>
        </w:tc>
        <w:tc>
          <w:tcPr>
            <w:tcW w:w="2513" w:type="dxa"/>
          </w:tcPr>
          <w:p w14:paraId="553CED32" w14:textId="5F3C5753" w:rsidR="009F7CFA" w:rsidRPr="009F7CFA" w:rsidRDefault="009F7CFA"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p>
        </w:tc>
        <w:tc>
          <w:tcPr>
            <w:tcW w:w="6230" w:type="dxa"/>
          </w:tcPr>
          <w:p w14:paraId="69867659" w14:textId="397B1AF6" w:rsidR="00525346" w:rsidRDefault="009F7CFA"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9F7CFA">
              <w:rPr>
                <w:rStyle w:val="Bold"/>
              </w:rPr>
              <w:t xml:space="preserve">Merri Creek: </w:t>
            </w:r>
            <w:bookmarkStart w:id="82" w:name="_Hlk70499231"/>
            <w:r w:rsidRPr="00612E89">
              <w:rPr>
                <w:rStyle w:val="Removedirectformatting"/>
              </w:rPr>
              <w:t>The riparian</w:t>
            </w:r>
            <w:r>
              <w:rPr>
                <w:rStyle w:val="Removedirectformatting"/>
              </w:rPr>
              <w:t xml:space="preserve"> </w:t>
            </w:r>
            <w:r w:rsidR="006A5772">
              <w:rPr>
                <w:rStyle w:val="Removedirectformatting"/>
              </w:rPr>
              <w:t>woodland</w:t>
            </w:r>
            <w:r w:rsidRPr="00612E89">
              <w:rPr>
                <w:rStyle w:val="Removedirectformatting"/>
              </w:rPr>
              <w:t xml:space="preserve"> vegetation of the banks and channel is dense with a healthy mix of deep-rooted trees and ground cover vegetation</w:t>
            </w:r>
            <w:r w:rsidR="0050608F">
              <w:rPr>
                <w:rStyle w:val="Removedirectformatting"/>
              </w:rPr>
              <w:t xml:space="preserve"> along the waterway</w:t>
            </w:r>
            <w:r w:rsidRPr="00612E89">
              <w:rPr>
                <w:rStyle w:val="Removedirectformatting"/>
              </w:rPr>
              <w:t>, which provides protection of both sides of the waterway.</w:t>
            </w:r>
            <w:r w:rsidRPr="00145834">
              <w:rPr>
                <w:rStyle w:val="Removedirectformatting"/>
              </w:rPr>
              <w:t xml:space="preserve"> </w:t>
            </w:r>
            <w:bookmarkEnd w:id="82"/>
            <w:r w:rsidR="00145834" w:rsidRPr="00145834">
              <w:rPr>
                <w:rStyle w:val="Removedirectformatting"/>
              </w:rPr>
              <w:t>The field assessment recorded native shrub and tree species (</w:t>
            </w:r>
            <w:r w:rsidR="00145834" w:rsidRPr="00612E89">
              <w:rPr>
                <w:rStyle w:val="Removedirectformatting"/>
              </w:rPr>
              <w:t xml:space="preserve">Tea tree </w:t>
            </w:r>
            <w:r w:rsidR="00145834" w:rsidRPr="00612E89">
              <w:rPr>
                <w:rStyle w:val="Italics"/>
              </w:rPr>
              <w:t>Leptospermum</w:t>
            </w:r>
            <w:r w:rsidR="00145834" w:rsidRPr="00612E89">
              <w:rPr>
                <w:rStyle w:val="Removedirectformatting"/>
              </w:rPr>
              <w:t xml:space="preserve"> species and </w:t>
            </w:r>
            <w:r w:rsidR="00145834" w:rsidRPr="00612E89">
              <w:rPr>
                <w:rStyle w:val="Italics"/>
              </w:rPr>
              <w:t>Eucalyptus</w:t>
            </w:r>
            <w:r w:rsidR="00145834" w:rsidRPr="00612E89">
              <w:rPr>
                <w:rStyle w:val="Removedirectformatting"/>
              </w:rPr>
              <w:t xml:space="preserve"> species</w:t>
            </w:r>
            <w:r w:rsidR="00145834" w:rsidRPr="00145834">
              <w:rPr>
                <w:rStyle w:val="Removedirectformatting"/>
              </w:rPr>
              <w:t xml:space="preserve">) flanking </w:t>
            </w:r>
            <w:r w:rsidR="00145834" w:rsidRPr="00612E89">
              <w:rPr>
                <w:rStyle w:val="Removedirectformatting"/>
              </w:rPr>
              <w:t>Merri</w:t>
            </w:r>
            <w:r w:rsidR="00145834" w:rsidRPr="00145834">
              <w:rPr>
                <w:rStyle w:val="Removedirectformatting"/>
              </w:rPr>
              <w:t xml:space="preserve"> Creek in the vicinity of the proposed waterway crossing. Large trees which provide important habitat value have also been recorded</w:t>
            </w:r>
            <w:r w:rsidR="0050608F">
              <w:rPr>
                <w:rStyle w:val="Removedirectformatting"/>
              </w:rPr>
              <w:t xml:space="preserve"> near to the crossing</w:t>
            </w:r>
            <w:r w:rsidR="00145834" w:rsidRPr="00145834">
              <w:rPr>
                <w:rStyle w:val="Removedirectformatting"/>
              </w:rPr>
              <w:t>.</w:t>
            </w:r>
            <w:r w:rsidR="00145834" w:rsidRPr="00612E89">
              <w:rPr>
                <w:rStyle w:val="Removedirectformatting"/>
              </w:rPr>
              <w:t xml:space="preserve"> </w:t>
            </w:r>
            <w:r w:rsidR="00D908F3">
              <w:rPr>
                <w:rStyle w:val="Removedirectformatting"/>
              </w:rPr>
              <w:t xml:space="preserve">The crossing area does not contain large trees or shrubs. </w:t>
            </w:r>
            <w:r w:rsidR="00145834" w:rsidRPr="00612E89">
              <w:rPr>
                <w:rStyle w:val="Removedirectformatting"/>
              </w:rPr>
              <w:t xml:space="preserve">The crossing </w:t>
            </w:r>
            <w:r w:rsidR="0050608F">
              <w:rPr>
                <w:rStyle w:val="Removedirectformatting"/>
              </w:rPr>
              <w:t xml:space="preserve">area </w:t>
            </w:r>
            <w:r w:rsidR="00145834" w:rsidRPr="00612E89">
              <w:rPr>
                <w:rStyle w:val="Removedirectformatting"/>
              </w:rPr>
              <w:t>is within a Growling Grass Frog Conservation Area established under the Biodiversity Conservation Strategy</w:t>
            </w:r>
            <w:r w:rsidR="0050608F">
              <w:rPr>
                <w:rStyle w:val="Removedirectformatting"/>
              </w:rPr>
              <w:t xml:space="preserve"> which would be disturbed at the crossing</w:t>
            </w:r>
            <w:r w:rsidR="00FD2F23">
              <w:rPr>
                <w:rStyle w:val="Removedirectformatting"/>
              </w:rPr>
              <w:t xml:space="preserve"> due to open trench construction</w:t>
            </w:r>
            <w:r w:rsidR="00CB4978">
              <w:rPr>
                <w:rStyle w:val="Removedirectformatting"/>
              </w:rPr>
              <w:t xml:space="preserve"> or with temporary access (Option 2) proposed for HDD construction</w:t>
            </w:r>
            <w:r w:rsidR="00145834" w:rsidRPr="00612E89">
              <w:rPr>
                <w:rStyle w:val="Removedirectformatting"/>
              </w:rPr>
              <w:t>.</w:t>
            </w:r>
            <w:r w:rsidR="001F7371">
              <w:rPr>
                <w:rStyle w:val="Removedirectformatting"/>
              </w:rPr>
              <w:t xml:space="preserve"> </w:t>
            </w:r>
            <w:r w:rsidR="00FE3B8F" w:rsidRPr="00FE3B8F">
              <w:rPr>
                <w:rStyle w:val="Removedirectformatting"/>
              </w:rPr>
              <w:t xml:space="preserve">There is a low likelihood </w:t>
            </w:r>
            <w:r w:rsidR="00FE3B8F">
              <w:rPr>
                <w:rStyle w:val="Removedirectformatting"/>
              </w:rPr>
              <w:t xml:space="preserve">of </w:t>
            </w:r>
            <w:r w:rsidR="00FE3B8F" w:rsidRPr="00FE3B8F">
              <w:rPr>
                <w:rStyle w:val="Removedirectformatting"/>
              </w:rPr>
              <w:t xml:space="preserve">platypus being present in </w:t>
            </w:r>
            <w:r w:rsidR="004429B9">
              <w:rPr>
                <w:rStyle w:val="Removedirectformatting"/>
              </w:rPr>
              <w:t>Merri</w:t>
            </w:r>
            <w:r w:rsidR="00FE3B8F" w:rsidRPr="00FE3B8F">
              <w:rPr>
                <w:rStyle w:val="Removedirectformatting"/>
              </w:rPr>
              <w:t xml:space="preserve"> Creek. </w:t>
            </w:r>
            <w:r w:rsidR="001F7371">
              <w:rPr>
                <w:rStyle w:val="Removedirectformatting"/>
              </w:rPr>
              <w:t>The field assessment recorded v</w:t>
            </w:r>
            <w:r w:rsidR="001F7371" w:rsidRPr="001F7371">
              <w:t xml:space="preserve">arying in-stream habitat quality, with </w:t>
            </w:r>
            <w:r w:rsidR="0050608F">
              <w:t xml:space="preserve">aquatic </w:t>
            </w:r>
            <w:r w:rsidR="001F7371" w:rsidRPr="001F7371">
              <w:t>habitat in the vicinity of the pipeline crossing being of poor quality.</w:t>
            </w:r>
            <w:r w:rsidR="001F7371">
              <w:t xml:space="preserve"> </w:t>
            </w:r>
            <w:r w:rsidR="00880CE1">
              <w:t>Impacts associated with open trench construction on flora and fauna values at Merri Creek are assessed in</w:t>
            </w:r>
            <w:r w:rsidR="00EF71B1">
              <w:t xml:space="preserve"> sections 7.6.4, 7.6.6 and 7.6.8 of</w:t>
            </w:r>
            <w:r w:rsidR="00880CE1">
              <w:t xml:space="preserve"> Chapter 7 </w:t>
            </w:r>
            <w:r w:rsidR="00880CE1" w:rsidRPr="004A499F">
              <w:rPr>
                <w:rStyle w:val="Italics"/>
              </w:rPr>
              <w:t>Biodiversity</w:t>
            </w:r>
            <w:r w:rsidR="00880CE1">
              <w:rPr>
                <w:rStyle w:val="Italics"/>
              </w:rPr>
              <w:t>.</w:t>
            </w:r>
            <w:bookmarkStart w:id="83" w:name="_Hlk70499246"/>
          </w:p>
          <w:p w14:paraId="2BA94896" w14:textId="45F52B2F" w:rsidR="00135F98" w:rsidRDefault="009F7CFA"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12E89">
              <w:rPr>
                <w:rStyle w:val="Removedirectformatting"/>
              </w:rPr>
              <w:t>Within both the upstream and downstream reaches there are sharp meander bends. The Project crossing location is on a meandering section of Merri Creek which continues downstream, with relatively quiet water flowing through a thickly vegetated stream bed. There is a section of riffles characterised by shallow depths with fast, turbulent water agitated by rocks and vegetation.</w:t>
            </w:r>
            <w:r w:rsidR="008672AE">
              <w:rPr>
                <w:rStyle w:val="Removedirectformatting"/>
              </w:rPr>
              <w:t xml:space="preserve"> </w:t>
            </w:r>
            <w:r w:rsidR="00E66261">
              <w:rPr>
                <w:rStyle w:val="Removedirectformatting"/>
              </w:rPr>
              <w:t xml:space="preserve">At the location of the construction corridor, the creek is ephemeral. </w:t>
            </w:r>
          </w:p>
          <w:bookmarkEnd w:id="83"/>
          <w:p w14:paraId="31708A64" w14:textId="77777777" w:rsidR="00007A1E" w:rsidRPr="00007A1E" w:rsidRDefault="00007A1E"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007A1E">
              <w:rPr>
                <w:rStyle w:val="Removedirectformatting"/>
              </w:rPr>
              <w:t>The reach scale geomorphology is very different to Jacksons and Deep Creek due to the large exposures of basalt in the channel walls.</w:t>
            </w:r>
          </w:p>
          <w:p w14:paraId="3C2ED928" w14:textId="32241B18" w:rsidR="00007A1E" w:rsidRPr="00612E89" w:rsidRDefault="008672AE" w:rsidP="003A214F">
            <w:pPr>
              <w:pStyle w:val="TableText"/>
              <w:cnfStyle w:val="000000000000" w:firstRow="0" w:lastRow="0" w:firstColumn="0" w:lastColumn="0" w:oddVBand="0" w:evenVBand="0" w:oddHBand="0" w:evenHBand="0" w:firstRowFirstColumn="0" w:firstRowLastColumn="0" w:lastRowFirstColumn="0" w:lastRowLastColumn="0"/>
              <w:rPr>
                <w:shd w:val="clear" w:color="auto" w:fill="FFFF00"/>
              </w:rPr>
            </w:pPr>
            <w:r w:rsidRPr="008672AE">
              <w:t>The modelled channel velocities</w:t>
            </w:r>
            <w:r w:rsidR="00C45488">
              <w:t xml:space="preserve"> </w:t>
            </w:r>
            <w:r w:rsidR="00007A1E">
              <w:t>are less than 1.5 m/s</w:t>
            </w:r>
            <w:r w:rsidR="00C45488">
              <w:t xml:space="preserve"> and stream powers </w:t>
            </w:r>
            <w:r w:rsidR="00007A1E">
              <w:t xml:space="preserve">are expected to be low, </w:t>
            </w:r>
            <w:r>
              <w:t>indicat</w:t>
            </w:r>
            <w:r w:rsidR="00007A1E">
              <w:t>ing a</w:t>
            </w:r>
            <w:r w:rsidRPr="008672AE">
              <w:t xml:space="preserve"> </w:t>
            </w:r>
            <w:r w:rsidR="00007A1E">
              <w:t>lower</w:t>
            </w:r>
            <w:r w:rsidRPr="008672AE">
              <w:t xml:space="preserve"> potential for stream bed and bank erosion</w:t>
            </w:r>
            <w:r w:rsidR="00007A1E">
              <w:t xml:space="preserve"> compared to Jacksons Creek and Deep Creek. The presence of </w:t>
            </w:r>
            <w:r w:rsidR="00007A1E" w:rsidRPr="00007A1E">
              <w:t xml:space="preserve">basalt at relatively shallow depths would </w:t>
            </w:r>
            <w:r w:rsidR="00007A1E">
              <w:t xml:space="preserve">also </w:t>
            </w:r>
            <w:r w:rsidR="00007A1E" w:rsidRPr="00007A1E">
              <w:t>limit the depth and extent of future bed erosion.</w:t>
            </w:r>
            <w:r w:rsidR="004A499F">
              <w:t xml:space="preserve"> Er</w:t>
            </w:r>
            <w:r w:rsidR="004A499F" w:rsidRPr="004A499F">
              <w:t xml:space="preserve">osion impacts to river health, surrounding property and infrastructure associated with open trench construction at </w:t>
            </w:r>
            <w:r w:rsidR="004A499F">
              <w:t>Merri</w:t>
            </w:r>
            <w:r w:rsidR="004A499F" w:rsidRPr="004A499F">
              <w:t xml:space="preserve"> Creek are assessed in section 8.8.3 of Chapter 8 </w:t>
            </w:r>
            <w:r w:rsidR="004A499F" w:rsidRPr="004A499F">
              <w:rPr>
                <w:rStyle w:val="Italics"/>
              </w:rPr>
              <w:t>Water</w:t>
            </w:r>
            <w:r w:rsidR="004A499F" w:rsidRPr="004A499F">
              <w:t>.</w:t>
            </w:r>
          </w:p>
          <w:p w14:paraId="74BE63DE" w14:textId="77777777" w:rsidR="009F7CFA" w:rsidRPr="009F7CFA" w:rsidRDefault="009F7CFA" w:rsidP="003A214F">
            <w:pPr>
              <w:pStyle w:val="TableText"/>
              <w:cnfStyle w:val="000000000000" w:firstRow="0" w:lastRow="0" w:firstColumn="0" w:lastColumn="0" w:oddVBand="0" w:evenVBand="0" w:oddHBand="0" w:evenHBand="0" w:firstRowFirstColumn="0" w:firstRowLastColumn="0" w:lastRowFirstColumn="0" w:lastRowLastColumn="0"/>
              <w:rPr>
                <w:rStyle w:val="Bold"/>
              </w:rPr>
            </w:pPr>
            <w:r w:rsidRPr="009F7CFA">
              <w:rPr>
                <w:noProof/>
              </w:rPr>
              <w:drawing>
                <wp:inline distT="0" distB="0" distL="0" distR="0" wp14:anchorId="2AB3DAFD" wp14:editId="08903DB9">
                  <wp:extent cx="2748952" cy="2061714"/>
                  <wp:effectExtent l="0" t="0" r="0" b="0"/>
                  <wp:docPr id="322" name="Pictur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1667" cy="2071250"/>
                          </a:xfrm>
                          <a:prstGeom prst="rect">
                            <a:avLst/>
                          </a:prstGeom>
                        </pic:spPr>
                      </pic:pic>
                    </a:graphicData>
                  </a:graphic>
                </wp:inline>
              </w:drawing>
            </w:r>
          </w:p>
          <w:p w14:paraId="1D64688A" w14:textId="470A40A5" w:rsidR="009F7CFA" w:rsidRPr="00345C12" w:rsidRDefault="009F7CFA" w:rsidP="003A214F">
            <w:pPr>
              <w:pStyle w:val="Source"/>
              <w:spacing w:before="60" w:after="60"/>
              <w:cnfStyle w:val="000000000000" w:firstRow="0" w:lastRow="0" w:firstColumn="0" w:lastColumn="0" w:oddVBand="0" w:evenVBand="0" w:oddHBand="0" w:evenHBand="0" w:firstRowFirstColumn="0" w:firstRowLastColumn="0" w:lastRowFirstColumn="0" w:lastRowLastColumn="0"/>
            </w:pPr>
            <w:r w:rsidRPr="00345C12">
              <w:t>Merri Creek at pipeline crossing location looking north. Source: site photo (GHD, 2020)</w:t>
            </w:r>
          </w:p>
        </w:tc>
      </w:tr>
      <w:tr w:rsidR="00F26228" w14:paraId="0BE987D0" w14:textId="77777777" w:rsidTr="003A214F">
        <w:trPr>
          <w:cantSplit/>
        </w:trPr>
        <w:tc>
          <w:tcPr>
            <w:cnfStyle w:val="001000000000" w:firstRow="0" w:lastRow="0" w:firstColumn="1" w:lastColumn="0" w:oddVBand="0" w:evenVBand="0" w:oddHBand="0" w:evenHBand="0" w:firstRowFirstColumn="0" w:firstRowLastColumn="0" w:lastRowFirstColumn="0" w:lastRowLastColumn="0"/>
            <w:tcW w:w="0" w:type="auto"/>
          </w:tcPr>
          <w:p w14:paraId="4211CC5D" w14:textId="6F5F5B21" w:rsidR="00F26228" w:rsidRPr="009F7CFA" w:rsidRDefault="00F26228" w:rsidP="003A214F">
            <w:pPr>
              <w:pStyle w:val="TableText"/>
            </w:pPr>
            <w:r>
              <w:t>7</w:t>
            </w:r>
          </w:p>
        </w:tc>
        <w:tc>
          <w:tcPr>
            <w:tcW w:w="2513" w:type="dxa"/>
          </w:tcPr>
          <w:p w14:paraId="3FD9DFEE" w14:textId="49CB3498" w:rsidR="00F26228" w:rsidRPr="009F7CFA" w:rsidRDefault="00683C3E" w:rsidP="009369DB">
            <w:pPr>
              <w:pStyle w:val="TableText"/>
              <w:cnfStyle w:val="000000000000" w:firstRow="0" w:lastRow="0" w:firstColumn="0" w:lastColumn="0" w:oddVBand="0" w:evenVBand="0" w:oddHBand="0" w:evenHBand="0" w:firstRowFirstColumn="0" w:firstRowLastColumn="0" w:lastRowFirstColumn="0" w:lastRowLastColumn="0"/>
              <w:rPr>
                <w:rStyle w:val="Bold"/>
              </w:rPr>
            </w:pPr>
            <w:r>
              <w:rPr>
                <w:rStyle w:val="Bold"/>
              </w:rPr>
              <w:t>Demonstrat</w:t>
            </w:r>
            <w:r w:rsidR="00BD7C77">
              <w:rPr>
                <w:rStyle w:val="Bold"/>
              </w:rPr>
              <w:t>ed</w:t>
            </w:r>
            <w:r>
              <w:rPr>
                <w:rStyle w:val="Bold"/>
              </w:rPr>
              <w:t xml:space="preserve"> potential for rehabilitation</w:t>
            </w:r>
          </w:p>
        </w:tc>
        <w:tc>
          <w:tcPr>
            <w:tcW w:w="6230" w:type="dxa"/>
          </w:tcPr>
          <w:p w14:paraId="642848D9" w14:textId="1666CBAD" w:rsidR="00F26228" w:rsidRDefault="00F26228" w:rsidP="003A214F">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12E89">
              <w:rPr>
                <w:rStyle w:val="Bold"/>
              </w:rPr>
              <w:t>Merri Creek:</w:t>
            </w:r>
            <w:r>
              <w:rPr>
                <w:rStyle w:val="Removedirectformatting"/>
              </w:rPr>
              <w:t xml:space="preserve"> </w:t>
            </w:r>
            <w:bookmarkStart w:id="84" w:name="_Hlk68704076"/>
            <w:r w:rsidRPr="00F26228">
              <w:rPr>
                <w:rStyle w:val="Removedirectformatting"/>
              </w:rPr>
              <w:t xml:space="preserve">The crossing location </w:t>
            </w:r>
            <w:r w:rsidR="00164DF6">
              <w:rPr>
                <w:rStyle w:val="Removedirectformatting"/>
              </w:rPr>
              <w:t>would be co-located with</w:t>
            </w:r>
            <w:r w:rsidRPr="00F26228">
              <w:rPr>
                <w:rStyle w:val="Removedirectformatting"/>
              </w:rPr>
              <w:t xml:space="preserve"> an existing APA pipeline easement that was previously trenched</w:t>
            </w:r>
            <w:r w:rsidR="00164DF6">
              <w:rPr>
                <w:rStyle w:val="Removedirectformatting"/>
              </w:rPr>
              <w:t xml:space="preserve"> in 2014</w:t>
            </w:r>
            <w:r w:rsidRPr="00F26228">
              <w:rPr>
                <w:rStyle w:val="Removedirectformatting"/>
              </w:rPr>
              <w:t>. The rehabilitation works associated with this previous pipeline construction have been effective and remain stable, where the works are now concealed by vegetation cover.</w:t>
            </w:r>
            <w:bookmarkEnd w:id="84"/>
          </w:p>
          <w:p w14:paraId="247086A1" w14:textId="4BF473BC" w:rsidR="00F26228" w:rsidRPr="00612E89" w:rsidRDefault="00F14A8C" w:rsidP="003A214F">
            <w:pPr>
              <w:pStyle w:val="TableText"/>
              <w:cnfStyle w:val="000000000000" w:firstRow="0" w:lastRow="0" w:firstColumn="0" w:lastColumn="0" w:oddVBand="0" w:evenVBand="0" w:oddHBand="0" w:evenHBand="0" w:firstRowFirstColumn="0" w:firstRowLastColumn="0" w:lastRowFirstColumn="0" w:lastRowLastColumn="0"/>
              <w:rPr>
                <w:rStyle w:val="Bold"/>
                <w:b w:val="0"/>
              </w:rPr>
            </w:pPr>
            <w:r>
              <w:rPr>
                <w:rStyle w:val="Removedirectformatting"/>
              </w:rPr>
              <w:t xml:space="preserve">APA has not undertaken similar works previously at Jacksons Creek or Deep Creek. </w:t>
            </w:r>
          </w:p>
        </w:tc>
      </w:tr>
    </w:tbl>
    <w:p w14:paraId="7B50577A" w14:textId="62A1B0BA" w:rsidR="00164DF6" w:rsidRPr="00164DF6" w:rsidRDefault="00164DF6" w:rsidP="00164DF6">
      <w:pPr>
        <w:pStyle w:val="BodyText"/>
      </w:pPr>
      <w:bookmarkStart w:id="85" w:name="_Toc62758931"/>
      <w:proofErr w:type="gramStart"/>
      <w:r w:rsidRPr="00164DF6">
        <w:lastRenderedPageBreak/>
        <w:t>Following the assessment, it</w:t>
      </w:r>
      <w:proofErr w:type="gramEnd"/>
      <w:r w:rsidRPr="00164DF6">
        <w:t xml:space="preserve"> was determined that Jacksons Creek and Merri Creek would be constructed using open trench methodologies and Deep Creek would be constructed using HDD methodology. Trenchless construction methodology has lower environmental impact at the crossing point as it does not require disturbance directly to the watercourse and hence would minimise impact to the existing waterway and surrounds. HDD does require an area for entry and exit pit locations and set up areas. HDD methodology must be technically feasible to be considered as an option. A</w:t>
      </w:r>
      <w:r w:rsidR="003A214F">
        <w:t> </w:t>
      </w:r>
      <w:r w:rsidRPr="00164DF6">
        <w:t xml:space="preserve">summary of the key considerations for the selected methodology is provided in </w:t>
      </w:r>
      <w:r w:rsidRPr="00164DF6">
        <w:fldChar w:fldCharType="begin"/>
      </w:r>
      <w:r w:rsidRPr="00164DF6">
        <w:instrText xml:space="preserve"> REF _Ref69396260 \h </w:instrText>
      </w:r>
      <w:r w:rsidRPr="00164DF6">
        <w:fldChar w:fldCharType="separate"/>
      </w:r>
      <w:r w:rsidR="00BA1E56">
        <w:t>Table </w:t>
      </w:r>
      <w:r w:rsidR="00BA1E56">
        <w:rPr>
          <w:noProof/>
        </w:rPr>
        <w:t>3</w:t>
      </w:r>
      <w:r w:rsidR="00BA1E56">
        <w:noBreakHyphen/>
      </w:r>
      <w:r w:rsidR="00BA1E56">
        <w:rPr>
          <w:noProof/>
        </w:rPr>
        <w:t>6</w:t>
      </w:r>
      <w:r w:rsidRPr="00164DF6">
        <w:fldChar w:fldCharType="end"/>
      </w:r>
      <w:r w:rsidRPr="00164DF6">
        <w:t>.</w:t>
      </w:r>
      <w:r w:rsidR="00E21A1A">
        <w:t xml:space="preserve"> </w:t>
      </w:r>
    </w:p>
    <w:p w14:paraId="7AB08049" w14:textId="656EA6EE" w:rsidR="009156F0" w:rsidRDefault="009156F0" w:rsidP="00612E89">
      <w:pPr>
        <w:pStyle w:val="Caption"/>
      </w:pPr>
      <w:bookmarkStart w:id="86" w:name="_Ref69396260"/>
      <w:r>
        <w:t>Table</w:t>
      </w:r>
      <w:r w:rsidR="00F4218E">
        <w:t> </w:t>
      </w:r>
      <w:r w:rsidR="00D21058">
        <w:fldChar w:fldCharType="begin"/>
      </w:r>
      <w:r w:rsidR="00D21058">
        <w:instrText xml:space="preserve"> STYLEREF 1 \s </w:instrText>
      </w:r>
      <w:r w:rsidR="00D21058">
        <w:fldChar w:fldCharType="separate"/>
      </w:r>
      <w:r w:rsidR="00BA1E56">
        <w:rPr>
          <w:noProof/>
        </w:rPr>
        <w:t>3</w:t>
      </w:r>
      <w:r w:rsidR="00D21058">
        <w:rPr>
          <w:noProof/>
        </w:rPr>
        <w:fldChar w:fldCharType="end"/>
      </w:r>
      <w:r>
        <w:noBreakHyphen/>
      </w:r>
      <w:r w:rsidR="00D21058">
        <w:fldChar w:fldCharType="begin"/>
      </w:r>
      <w:r w:rsidR="00D21058">
        <w:instrText xml:space="preserve"> SEQ Table \* ARABIC \s 1 </w:instrText>
      </w:r>
      <w:r w:rsidR="00D21058">
        <w:fldChar w:fldCharType="separate"/>
      </w:r>
      <w:r w:rsidR="00BA1E56">
        <w:rPr>
          <w:noProof/>
        </w:rPr>
        <w:t>6</w:t>
      </w:r>
      <w:r w:rsidR="00D21058">
        <w:rPr>
          <w:noProof/>
        </w:rPr>
        <w:fldChar w:fldCharType="end"/>
      </w:r>
      <w:bookmarkEnd w:id="86"/>
      <w:r>
        <w:tab/>
      </w:r>
      <w:r w:rsidR="009F0FB8">
        <w:t>Selected methodology</w:t>
      </w:r>
      <w:r w:rsidR="00612E89">
        <w:t xml:space="preserve"> - </w:t>
      </w:r>
      <w:r w:rsidR="009F0FB8">
        <w:t>s</w:t>
      </w:r>
      <w:r>
        <w:t xml:space="preserve">ummary </w:t>
      </w:r>
      <w:r w:rsidR="009F0FB8">
        <w:t>of key considerations</w:t>
      </w:r>
    </w:p>
    <w:tbl>
      <w:tblPr>
        <w:tblStyle w:val="MainTableStyle"/>
        <w:tblW w:w="0" w:type="auto"/>
        <w:tblLayout w:type="fixed"/>
        <w:tblLook w:val="04A0" w:firstRow="1" w:lastRow="0" w:firstColumn="1" w:lastColumn="0" w:noHBand="0" w:noVBand="1"/>
      </w:tblPr>
      <w:tblGrid>
        <w:gridCol w:w="1124"/>
        <w:gridCol w:w="2646"/>
        <w:gridCol w:w="2646"/>
        <w:gridCol w:w="2644"/>
      </w:tblGrid>
      <w:tr w:rsidR="009B2FC0" w14:paraId="46D71003" w14:textId="77777777" w:rsidTr="0081742E">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124" w:type="dxa"/>
            <w:hideMark/>
          </w:tcPr>
          <w:p w14:paraId="62B32DFB" w14:textId="77777777" w:rsidR="009B2FC0" w:rsidRPr="009B2FC0" w:rsidRDefault="009B2FC0" w:rsidP="0081742E">
            <w:pPr>
              <w:pStyle w:val="TableText"/>
            </w:pPr>
            <w:r w:rsidRPr="009B2FC0">
              <w:t>Location</w:t>
            </w:r>
          </w:p>
        </w:tc>
        <w:tc>
          <w:tcPr>
            <w:tcW w:w="2646" w:type="dxa"/>
            <w:hideMark/>
          </w:tcPr>
          <w:p w14:paraId="0EF7DD70" w14:textId="77777777" w:rsidR="009B2FC0" w:rsidRPr="009B2FC0" w:rsidRDefault="009B2FC0" w:rsidP="0081742E">
            <w:pPr>
              <w:pStyle w:val="TableText"/>
              <w:cnfStyle w:val="100000000000" w:firstRow="1" w:lastRow="0" w:firstColumn="0" w:lastColumn="0" w:oddVBand="0" w:evenVBand="0" w:oddHBand="0" w:evenHBand="0" w:firstRowFirstColumn="0" w:firstRowLastColumn="0" w:lastRowFirstColumn="0" w:lastRowLastColumn="0"/>
            </w:pPr>
            <w:r w:rsidRPr="009B2FC0">
              <w:t>HDD</w:t>
            </w:r>
          </w:p>
        </w:tc>
        <w:tc>
          <w:tcPr>
            <w:tcW w:w="2646" w:type="dxa"/>
            <w:hideMark/>
          </w:tcPr>
          <w:p w14:paraId="55F6D0B4" w14:textId="77777777" w:rsidR="009B2FC0" w:rsidRPr="009B2FC0" w:rsidRDefault="009B2FC0" w:rsidP="0081742E">
            <w:pPr>
              <w:pStyle w:val="TableText"/>
              <w:cnfStyle w:val="100000000000" w:firstRow="1" w:lastRow="0" w:firstColumn="0" w:lastColumn="0" w:oddVBand="0" w:evenVBand="0" w:oddHBand="0" w:evenHBand="0" w:firstRowFirstColumn="0" w:firstRowLastColumn="0" w:lastRowFirstColumn="0" w:lastRowLastColumn="0"/>
            </w:pPr>
            <w:r w:rsidRPr="009B2FC0">
              <w:t>Open trench</w:t>
            </w:r>
          </w:p>
        </w:tc>
        <w:tc>
          <w:tcPr>
            <w:tcW w:w="2644" w:type="dxa"/>
            <w:hideMark/>
          </w:tcPr>
          <w:p w14:paraId="78B15A03" w14:textId="77777777" w:rsidR="009B2FC0" w:rsidRPr="009B2FC0" w:rsidRDefault="009B2FC0" w:rsidP="0081742E">
            <w:pPr>
              <w:pStyle w:val="TableText"/>
              <w:cnfStyle w:val="100000000000" w:firstRow="1" w:lastRow="0" w:firstColumn="0" w:lastColumn="0" w:oddVBand="0" w:evenVBand="0" w:oddHBand="0" w:evenHBand="0" w:firstRowFirstColumn="0" w:firstRowLastColumn="0" w:lastRowFirstColumn="0" w:lastRowLastColumn="0"/>
            </w:pPr>
            <w:r w:rsidRPr="009B2FC0">
              <w:t>Selected methodology</w:t>
            </w:r>
          </w:p>
        </w:tc>
      </w:tr>
      <w:tr w:rsidR="009B2FC0" w14:paraId="6C494B8D" w14:textId="77777777" w:rsidTr="0081742E">
        <w:tc>
          <w:tcPr>
            <w:cnfStyle w:val="001000000000" w:firstRow="0" w:lastRow="0" w:firstColumn="1" w:lastColumn="0" w:oddVBand="0" w:evenVBand="0" w:oddHBand="0" w:evenHBand="0" w:firstRowFirstColumn="0" w:firstRowLastColumn="0" w:lastRowFirstColumn="0" w:lastRowLastColumn="0"/>
            <w:tcW w:w="1124" w:type="dxa"/>
            <w:hideMark/>
          </w:tcPr>
          <w:p w14:paraId="438E24B9" w14:textId="121A25AA" w:rsidR="009B2FC0" w:rsidRPr="009B2FC0" w:rsidRDefault="009B2FC0" w:rsidP="0081742E">
            <w:pPr>
              <w:pStyle w:val="TableText"/>
            </w:pPr>
            <w:r w:rsidRPr="009B2FC0">
              <w:t>Jacksons Creek</w:t>
            </w:r>
          </w:p>
        </w:tc>
        <w:tc>
          <w:tcPr>
            <w:tcW w:w="2646" w:type="dxa"/>
            <w:hideMark/>
          </w:tcPr>
          <w:p w14:paraId="6CE36531" w14:textId="60BC6888"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Potential for high risk of hyd</w:t>
            </w:r>
            <w:r w:rsidR="00DA6EB7">
              <w:t>r</w:t>
            </w:r>
            <w:r w:rsidRPr="00164DF6">
              <w:t>ofracture due to the geology not being conducive to maintaining borehole stability</w:t>
            </w:r>
            <w:r w:rsidR="00F4218E">
              <w:t>.</w:t>
            </w:r>
          </w:p>
          <w:p w14:paraId="6AADF84B" w14:textId="7A979DE1"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Overbend of pipe required at</w:t>
            </w:r>
            <w:r w:rsidR="003A214F">
              <w:t> </w:t>
            </w:r>
            <w:r w:rsidRPr="00164DF6">
              <w:t>exit</w:t>
            </w:r>
            <w:r w:rsidR="00F4218E">
              <w:t>.</w:t>
            </w:r>
          </w:p>
          <w:p w14:paraId="05B85157" w14:textId="2446A323" w:rsidR="009B2FC0" w:rsidRPr="009B2FC0"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 xml:space="preserve">Requires additional construction footprint for pipe stringing in </w:t>
            </w:r>
            <w:r w:rsidR="00164DF6" w:rsidRPr="00164DF6">
              <w:t xml:space="preserve">private property currently used as a </w:t>
            </w:r>
            <w:r w:rsidRPr="009B2FC0">
              <w:t>wheat cultivation paddock</w:t>
            </w:r>
            <w:r w:rsidR="00F4218E">
              <w:t>.</w:t>
            </w:r>
          </w:p>
        </w:tc>
        <w:tc>
          <w:tcPr>
            <w:tcW w:w="2646" w:type="dxa"/>
            <w:hideMark/>
          </w:tcPr>
          <w:p w14:paraId="3AC53426" w14:textId="4E1E4472" w:rsidR="00164DF6" w:rsidRPr="00164DF6"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 xml:space="preserve">Relatively high potential for stream bed and bank erosion </w:t>
            </w:r>
            <w:r w:rsidR="00164DF6" w:rsidRPr="00164DF6">
              <w:t>based on</w:t>
            </w:r>
            <w:r w:rsidRPr="009B2FC0">
              <w:t xml:space="preserve"> modelled flows of greater than 1.5 m/s</w:t>
            </w:r>
            <w:r w:rsidR="00F4218E">
              <w:t>.</w:t>
            </w:r>
          </w:p>
          <w:p w14:paraId="0B152D62" w14:textId="10C1583A"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Some riparian woodland and large trees present that could provide fauna habitat, however the selected pipeline alignment crossing proposed falls in the most degraded part of the creek and the quality of habitat in the waterway is</w:t>
            </w:r>
            <w:r w:rsidR="003A214F">
              <w:t> </w:t>
            </w:r>
            <w:r w:rsidRPr="00164DF6">
              <w:t>poor</w:t>
            </w:r>
            <w:r w:rsidR="00F4218E">
              <w:t>.</w:t>
            </w:r>
          </w:p>
        </w:tc>
        <w:tc>
          <w:tcPr>
            <w:tcW w:w="2644" w:type="dxa"/>
            <w:hideMark/>
          </w:tcPr>
          <w:p w14:paraId="467AB39C" w14:textId="49E8FA1E" w:rsidR="009B2FC0" w:rsidRPr="009B2FC0"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 xml:space="preserve">Open trench – </w:t>
            </w:r>
            <w:r w:rsidR="00164DF6" w:rsidRPr="00164DF6">
              <w:t xml:space="preserve">has been selected due to </w:t>
            </w:r>
            <w:r w:rsidRPr="009B2FC0">
              <w:t xml:space="preserve">major risks </w:t>
            </w:r>
            <w:r w:rsidR="00164DF6" w:rsidRPr="00164DF6">
              <w:t>associated with HDD.</w:t>
            </w:r>
            <w:r w:rsidRPr="009B2FC0">
              <w:t xml:space="preserve"> Specific</w:t>
            </w:r>
            <w:r w:rsidR="003A214F">
              <w:t> </w:t>
            </w:r>
            <w:r w:rsidR="00164DF6" w:rsidRPr="00164DF6">
              <w:t>environmental mitigation measures and rehabilitation proposed for the Project will manage risks associated with erosion for works in waterways.</w:t>
            </w:r>
          </w:p>
        </w:tc>
      </w:tr>
      <w:tr w:rsidR="009B2FC0" w14:paraId="5DDE7DD9" w14:textId="77777777" w:rsidTr="0081742E">
        <w:tc>
          <w:tcPr>
            <w:cnfStyle w:val="001000000000" w:firstRow="0" w:lastRow="0" w:firstColumn="1" w:lastColumn="0" w:oddVBand="0" w:evenVBand="0" w:oddHBand="0" w:evenHBand="0" w:firstRowFirstColumn="0" w:firstRowLastColumn="0" w:lastRowFirstColumn="0" w:lastRowLastColumn="0"/>
            <w:tcW w:w="1124" w:type="dxa"/>
            <w:hideMark/>
          </w:tcPr>
          <w:p w14:paraId="52E43EEE" w14:textId="17F76D0E" w:rsidR="009B2FC0" w:rsidRPr="009B2FC0" w:rsidRDefault="009B2FC0" w:rsidP="0081742E">
            <w:pPr>
              <w:pStyle w:val="TableText"/>
            </w:pPr>
            <w:r w:rsidRPr="009B2FC0">
              <w:t>Deep Creek</w:t>
            </w:r>
          </w:p>
        </w:tc>
        <w:tc>
          <w:tcPr>
            <w:tcW w:w="2646" w:type="dxa"/>
          </w:tcPr>
          <w:p w14:paraId="65E4E57A" w14:textId="2EC75265"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Low risk of hyd</w:t>
            </w:r>
            <w:r w:rsidR="00DA6EB7">
              <w:t>r</w:t>
            </w:r>
            <w:r w:rsidRPr="00164DF6">
              <w:t>ofracture due to the geology providing a good medium for drilling, with some potential stability issues</w:t>
            </w:r>
            <w:r w:rsidR="00F4218E">
              <w:t>.</w:t>
            </w:r>
          </w:p>
          <w:p w14:paraId="194464FF" w14:textId="5422FA7C"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No overbend required</w:t>
            </w:r>
            <w:r w:rsidR="00F4218E">
              <w:t>.</w:t>
            </w:r>
          </w:p>
          <w:p w14:paraId="338F3B18" w14:textId="10FDBCE1"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No additional construction footprint required for stringing of the pipeline</w:t>
            </w:r>
            <w:r w:rsidR="00F4218E">
              <w:t>.</w:t>
            </w:r>
          </w:p>
        </w:tc>
        <w:tc>
          <w:tcPr>
            <w:tcW w:w="2646" w:type="dxa"/>
            <w:hideMark/>
          </w:tcPr>
          <w:p w14:paraId="43866966" w14:textId="00C64502" w:rsidR="00164DF6" w:rsidRPr="00164DF6"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Relatively high potential for stream bed and bank erosion due to modelled flows of greater than 1.5</w:t>
            </w:r>
            <w:r w:rsidR="00F4218E">
              <w:t> </w:t>
            </w:r>
            <w:r w:rsidRPr="009B2FC0">
              <w:t>m/s</w:t>
            </w:r>
            <w:r w:rsidR="00F4218E">
              <w:t>.</w:t>
            </w:r>
          </w:p>
          <w:p w14:paraId="18DAD4BF" w14:textId="5A15522F"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 xml:space="preserve">Some riparian woodland and large trees present that could provide fauna habitat. </w:t>
            </w:r>
            <w:r w:rsidRPr="00164DF6">
              <w:rPr>
                <w:rStyle w:val="Removedirectformatting"/>
              </w:rPr>
              <w:t>Growling Grass Frogs have been recorded within Deep</w:t>
            </w:r>
            <w:r w:rsidR="003A214F">
              <w:rPr>
                <w:rStyle w:val="Removedirectformatting"/>
              </w:rPr>
              <w:t> </w:t>
            </w:r>
            <w:r w:rsidRPr="00164DF6">
              <w:rPr>
                <w:rStyle w:val="Removedirectformatting"/>
              </w:rPr>
              <w:t>Creek</w:t>
            </w:r>
            <w:r w:rsidR="00F4218E">
              <w:rPr>
                <w:rStyle w:val="Removedirectformatting"/>
              </w:rPr>
              <w:t>.</w:t>
            </w:r>
          </w:p>
        </w:tc>
        <w:tc>
          <w:tcPr>
            <w:tcW w:w="2644" w:type="dxa"/>
            <w:hideMark/>
          </w:tcPr>
          <w:p w14:paraId="1E2072BD" w14:textId="19AFFD7F" w:rsidR="009B2FC0" w:rsidRPr="009B2FC0"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 xml:space="preserve">HDD – geology at this location would enable drilling to avoid the relatively fast-flowing waterway </w:t>
            </w:r>
            <w:r w:rsidR="00164DF6" w:rsidRPr="00164DF6">
              <w:t>and minimise environmental impacts directly in watercourse</w:t>
            </w:r>
            <w:r w:rsidR="00F4218E">
              <w:t>.</w:t>
            </w:r>
          </w:p>
        </w:tc>
      </w:tr>
      <w:tr w:rsidR="009B2FC0" w14:paraId="4FC3CEAD" w14:textId="77777777" w:rsidTr="0081742E">
        <w:tc>
          <w:tcPr>
            <w:cnfStyle w:val="001000000000" w:firstRow="0" w:lastRow="0" w:firstColumn="1" w:lastColumn="0" w:oddVBand="0" w:evenVBand="0" w:oddHBand="0" w:evenHBand="0" w:firstRowFirstColumn="0" w:firstRowLastColumn="0" w:lastRowFirstColumn="0" w:lastRowLastColumn="0"/>
            <w:tcW w:w="1124" w:type="dxa"/>
            <w:hideMark/>
          </w:tcPr>
          <w:p w14:paraId="3B8EC8B8" w14:textId="0F36B856" w:rsidR="009B2FC0" w:rsidRPr="009B2FC0" w:rsidRDefault="009B2FC0" w:rsidP="0081742E">
            <w:pPr>
              <w:pStyle w:val="TableText"/>
            </w:pPr>
            <w:r w:rsidRPr="009B2FC0">
              <w:t>Merri Creek</w:t>
            </w:r>
          </w:p>
        </w:tc>
        <w:tc>
          <w:tcPr>
            <w:tcW w:w="2646" w:type="dxa"/>
            <w:hideMark/>
          </w:tcPr>
          <w:p w14:paraId="52975791" w14:textId="189DCFD9"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Moderate hydrofracture risk due to geology</w:t>
            </w:r>
            <w:r w:rsidR="00F4218E">
              <w:t>.</w:t>
            </w:r>
          </w:p>
          <w:p w14:paraId="130740C0" w14:textId="39852658" w:rsidR="009B2FC0" w:rsidRPr="009B2FC0"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Overbend not expected</w:t>
            </w:r>
            <w:r w:rsidR="00F4218E">
              <w:t>.</w:t>
            </w:r>
          </w:p>
          <w:p w14:paraId="5CE5E4DF" w14:textId="6CCBFBA8"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 xml:space="preserve">Requires a new </w:t>
            </w:r>
            <w:r w:rsidR="00CB4978">
              <w:t xml:space="preserve">temporary </w:t>
            </w:r>
            <w:r w:rsidRPr="00164DF6">
              <w:t>access track (3.4</w:t>
            </w:r>
            <w:r w:rsidR="00612E89">
              <w:t xml:space="preserve"> </w:t>
            </w:r>
            <w:r w:rsidRPr="00164DF6">
              <w:t>km x 5-10</w:t>
            </w:r>
            <w:r w:rsidR="00612E89">
              <w:t xml:space="preserve"> </w:t>
            </w:r>
            <w:r w:rsidRPr="00164DF6">
              <w:t xml:space="preserve">m wide) from Beveridge Road to facilitate construction of </w:t>
            </w:r>
            <w:r w:rsidR="00CB4978">
              <w:t xml:space="preserve">HDD works and </w:t>
            </w:r>
            <w:r w:rsidR="00CB4978" w:rsidRPr="00CB4978">
              <w:t xml:space="preserve">pipeline construction </w:t>
            </w:r>
            <w:r w:rsidRPr="00164DF6">
              <w:t xml:space="preserve">between the railway line and Merri Creek </w:t>
            </w:r>
            <w:r w:rsidR="00CB4978">
              <w:t xml:space="preserve">(KP 41-43) </w:t>
            </w:r>
            <w:r w:rsidRPr="00164DF6">
              <w:t xml:space="preserve">or </w:t>
            </w:r>
            <w:r w:rsidR="00CB4978">
              <w:t>as an alternative</w:t>
            </w:r>
            <w:r w:rsidR="00CB4978" w:rsidRPr="00CB4978">
              <w:t xml:space="preserve"> </w:t>
            </w:r>
            <w:r w:rsidRPr="00164DF6">
              <w:t>a temporary access track would need to be constructed across Merri Creek for the duration of construction works</w:t>
            </w:r>
            <w:r w:rsidR="00F4218E">
              <w:t>.</w:t>
            </w:r>
          </w:p>
        </w:tc>
        <w:tc>
          <w:tcPr>
            <w:tcW w:w="2646" w:type="dxa"/>
            <w:hideMark/>
          </w:tcPr>
          <w:p w14:paraId="2559A3A1" w14:textId="760B66B5" w:rsidR="009B2FC0" w:rsidRPr="009B2FC0" w:rsidRDefault="009B2FC0" w:rsidP="0081742E">
            <w:pPr>
              <w:pStyle w:val="TableText"/>
              <w:cnfStyle w:val="000000000000" w:firstRow="0" w:lastRow="0" w:firstColumn="0" w:lastColumn="0" w:oddVBand="0" w:evenVBand="0" w:oddHBand="0" w:evenHBand="0" w:firstRowFirstColumn="0" w:firstRowLastColumn="0" w:lastRowFirstColumn="0" w:lastRowLastColumn="0"/>
            </w:pPr>
            <w:r w:rsidRPr="009B2FC0">
              <w:t>Low potential for erosion due to presence of basalt at relatively shallow depths and modelled flows of less than 1.5 m/s</w:t>
            </w:r>
            <w:r w:rsidR="00F4218E">
              <w:t>.</w:t>
            </w:r>
          </w:p>
          <w:p w14:paraId="7AE71CCB" w14:textId="42C4F1A4"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Some riparian woodland and trees present in the vicinity of the proposed pipeline that could provide fauna habitat, however the habitat in the immediate vicinity of the proposed pipeline crossing is of poor quality</w:t>
            </w:r>
            <w:r w:rsidR="00F4218E">
              <w:t>.</w:t>
            </w:r>
          </w:p>
          <w:p w14:paraId="21F331D2" w14:textId="48F98314"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Works within the watercourse will be undertaken within the existing APA easement that currently exists for the VNIE pipeline. The VNIE pipeline has been previously open cut in this area and reinstated</w:t>
            </w:r>
            <w:r w:rsidR="00F4218E">
              <w:t>.</w:t>
            </w:r>
          </w:p>
        </w:tc>
        <w:tc>
          <w:tcPr>
            <w:tcW w:w="2644" w:type="dxa"/>
            <w:hideMark/>
          </w:tcPr>
          <w:p w14:paraId="03381AAB" w14:textId="3D25CEE4" w:rsidR="00164DF6" w:rsidRPr="00164DF6"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 xml:space="preserve">Open trench – has been selected to minimise any additional impacts associated with additional access requirements. Temporary access across Merri Creek </w:t>
            </w:r>
            <w:r w:rsidR="00CB4978">
              <w:t xml:space="preserve">is </w:t>
            </w:r>
            <w:r w:rsidRPr="00164DF6">
              <w:t>required to facilitate construction works between the rail crossing and Merri Creek</w:t>
            </w:r>
            <w:r w:rsidR="00CB4978">
              <w:t xml:space="preserve"> (KP 41-43)</w:t>
            </w:r>
            <w:r w:rsidR="00CB4978" w:rsidRPr="00CB4978">
              <w:t>.</w:t>
            </w:r>
            <w:r w:rsidRPr="00164DF6">
              <w:t xml:space="preserve"> Works will be contained within an existing APA easement directly in Merri Creek to minimise additional impacts</w:t>
            </w:r>
            <w:r w:rsidR="00F4218E">
              <w:t>.</w:t>
            </w:r>
          </w:p>
          <w:p w14:paraId="09CB1A7C" w14:textId="6ECA4872" w:rsidR="009B2FC0" w:rsidRPr="009B2FC0" w:rsidRDefault="00164DF6" w:rsidP="0081742E">
            <w:pPr>
              <w:pStyle w:val="TableText"/>
              <w:cnfStyle w:val="000000000000" w:firstRow="0" w:lastRow="0" w:firstColumn="0" w:lastColumn="0" w:oddVBand="0" w:evenVBand="0" w:oddHBand="0" w:evenHBand="0" w:firstRowFirstColumn="0" w:firstRowLastColumn="0" w:lastRowFirstColumn="0" w:lastRowLastColumn="0"/>
            </w:pPr>
            <w:r w:rsidRPr="00164DF6">
              <w:t>Specific environment mitigation measures and rehabilitation proposed for the Project will manage risks associated with erosion for works in waterways</w:t>
            </w:r>
            <w:r w:rsidR="00F4218E">
              <w:t>.</w:t>
            </w:r>
          </w:p>
        </w:tc>
      </w:tr>
    </w:tbl>
    <w:p w14:paraId="49AAA652" w14:textId="77777777" w:rsidR="00F4218E" w:rsidRDefault="00F4218E" w:rsidP="00F4218E">
      <w:pPr>
        <w:pStyle w:val="Source"/>
      </w:pPr>
    </w:p>
    <w:p w14:paraId="5B35CA2E" w14:textId="7BF0383E" w:rsidR="00064C83" w:rsidRPr="00064C83" w:rsidRDefault="00064C83" w:rsidP="00AB6E37">
      <w:pPr>
        <w:pStyle w:val="Heading2"/>
      </w:pPr>
      <w:bookmarkStart w:id="87" w:name="_Toc71242084"/>
      <w:bookmarkStart w:id="88" w:name="_Toc72198648"/>
      <w:r w:rsidRPr="00064C83">
        <w:lastRenderedPageBreak/>
        <w:t xml:space="preserve">Obtain </w:t>
      </w:r>
      <w:r w:rsidR="005833FC">
        <w:t>r</w:t>
      </w:r>
      <w:r w:rsidRPr="00064C83">
        <w:t xml:space="preserve">egulatory </w:t>
      </w:r>
      <w:r w:rsidR="005833FC">
        <w:t>a</w:t>
      </w:r>
      <w:r w:rsidRPr="00064C83">
        <w:t>pprovals</w:t>
      </w:r>
      <w:bookmarkEnd w:id="85"/>
      <w:bookmarkEnd w:id="87"/>
      <w:bookmarkEnd w:id="88"/>
    </w:p>
    <w:p w14:paraId="399A1D41" w14:textId="61D66AC4" w:rsidR="00064C83" w:rsidRDefault="00064C83" w:rsidP="00064C83">
      <w:pPr>
        <w:pStyle w:val="BodyText"/>
      </w:pPr>
      <w:r w:rsidRPr="00410A2F">
        <w:t xml:space="preserve">This EES </w:t>
      </w:r>
      <w:r>
        <w:t xml:space="preserve">is the key </w:t>
      </w:r>
      <w:r w:rsidR="00414260">
        <w:t>assessment</w:t>
      </w:r>
      <w:r>
        <w:t xml:space="preserve"> process to inform regulatory approvals for the Project under Victorian and Commonwealth legislation. </w:t>
      </w:r>
    </w:p>
    <w:p w14:paraId="68611895" w14:textId="697F1E25" w:rsidR="00064C83" w:rsidRDefault="00064C83" w:rsidP="00064C83">
      <w:pPr>
        <w:pStyle w:val="BodyText"/>
      </w:pPr>
      <w:r>
        <w:t xml:space="preserve">Further information on the Legislative Framework and EES Assessment Framework applicable to the Project can be found at Chapter 5 </w:t>
      </w:r>
      <w:r w:rsidR="00977B52" w:rsidRPr="00337199">
        <w:rPr>
          <w:rStyle w:val="Italics"/>
        </w:rPr>
        <w:t>Evaluation and assessment framework</w:t>
      </w:r>
      <w:r>
        <w:t>.</w:t>
      </w:r>
    </w:p>
    <w:p w14:paraId="6FF90164" w14:textId="55B87DBF" w:rsidR="00064C83" w:rsidRPr="00064C83" w:rsidRDefault="00064C83" w:rsidP="00AB6E37">
      <w:pPr>
        <w:pStyle w:val="Heading2"/>
      </w:pPr>
      <w:bookmarkStart w:id="89" w:name="_Toc62758932"/>
      <w:bookmarkStart w:id="90" w:name="_Toc71242085"/>
      <w:bookmarkStart w:id="91" w:name="_Toc72198649"/>
      <w:r w:rsidRPr="00064C83">
        <w:t xml:space="preserve">Construction and </w:t>
      </w:r>
      <w:r w:rsidR="005833FC">
        <w:t>o</w:t>
      </w:r>
      <w:r w:rsidRPr="00064C83">
        <w:t xml:space="preserve">peration of </w:t>
      </w:r>
      <w:bookmarkEnd w:id="89"/>
      <w:r w:rsidR="005833FC">
        <w:t>p</w:t>
      </w:r>
      <w:r w:rsidRPr="00064C83">
        <w:t>ipeline</w:t>
      </w:r>
      <w:bookmarkEnd w:id="90"/>
      <w:bookmarkEnd w:id="91"/>
    </w:p>
    <w:p w14:paraId="3EB73D6F" w14:textId="7D349286" w:rsidR="00064C83" w:rsidRDefault="00064C83" w:rsidP="00064C83">
      <w:pPr>
        <w:pStyle w:val="BodyText"/>
      </w:pPr>
      <w:r w:rsidRPr="00064C83">
        <w:t xml:space="preserve">Subject to obtaining all required regulatory approvals for the Project, the </w:t>
      </w:r>
      <w:r w:rsidR="009E3E2C">
        <w:t>Project</w:t>
      </w:r>
      <w:r w:rsidRPr="00064C83">
        <w:t xml:space="preserve"> is expected to be constructed over a period of six to </w:t>
      </w:r>
      <w:r w:rsidR="00144638">
        <w:t>nine</w:t>
      </w:r>
      <w:r w:rsidR="00144638" w:rsidRPr="00064C83">
        <w:t xml:space="preserve"> </w:t>
      </w:r>
      <w:r w:rsidRPr="00064C83">
        <w:t xml:space="preserve">months and be operational by </w:t>
      </w:r>
      <w:r w:rsidR="00144638">
        <w:t>mid-late</w:t>
      </w:r>
      <w:r w:rsidRPr="00064C83">
        <w:t xml:space="preserve"> 2022.</w:t>
      </w:r>
    </w:p>
    <w:p w14:paraId="7B8817BB" w14:textId="679C9C12" w:rsidR="00EF6761" w:rsidRPr="009E3E2C" w:rsidRDefault="002F7BF5" w:rsidP="00EF6761">
      <w:pPr>
        <w:pStyle w:val="BodyText"/>
      </w:pPr>
      <w:r>
        <w:t xml:space="preserve">Prior to construction, APA </w:t>
      </w:r>
      <w:r w:rsidR="00EF4069">
        <w:t>would</w:t>
      </w:r>
      <w:r>
        <w:t xml:space="preserve"> secure land access for the pipeline construction and </w:t>
      </w:r>
      <w:proofErr w:type="gramStart"/>
      <w:r>
        <w:t>easement</w:t>
      </w:r>
      <w:r w:rsidR="00AB6E37">
        <w:t xml:space="preserve">, </w:t>
      </w:r>
      <w:r>
        <w:t>and</w:t>
      </w:r>
      <w:proofErr w:type="gramEnd"/>
      <w:r>
        <w:t xml:space="preserve"> acquire land for the three MLV</w:t>
      </w:r>
      <w:r w:rsidR="00177F08">
        <w:t>s</w:t>
      </w:r>
      <w:r>
        <w:t xml:space="preserve">. </w:t>
      </w:r>
      <w:r w:rsidR="00EF6761" w:rsidRPr="003E6485">
        <w:t>The acquisition</w:t>
      </w:r>
      <w:r w:rsidR="00EF6761">
        <w:t xml:space="preserve"> of land for the Project</w:t>
      </w:r>
      <w:r w:rsidR="009E3E2C">
        <w:t xml:space="preserve"> MLV</w:t>
      </w:r>
      <w:r w:rsidR="00177F08">
        <w:t>s</w:t>
      </w:r>
      <w:r w:rsidR="00EF6761" w:rsidRPr="003E6485">
        <w:t xml:space="preserve"> is min</w:t>
      </w:r>
      <w:r w:rsidR="00EF6761">
        <w:t xml:space="preserve">or and </w:t>
      </w:r>
      <w:proofErr w:type="gramStart"/>
      <w:r w:rsidR="00EF6761">
        <w:t>small in size</w:t>
      </w:r>
      <w:proofErr w:type="gramEnd"/>
      <w:r w:rsidR="00EF6761">
        <w:t xml:space="preserve">. </w:t>
      </w:r>
      <w:r w:rsidR="009E3E2C">
        <w:t>While part of the Project is in existing easement area</w:t>
      </w:r>
      <w:r w:rsidR="00304315">
        <w:t xml:space="preserve"> (between </w:t>
      </w:r>
      <w:r w:rsidR="00304315" w:rsidRPr="00304315">
        <w:t>KP 0</w:t>
      </w:r>
      <w:r w:rsidR="00304315">
        <w:t xml:space="preserve"> </w:t>
      </w:r>
      <w:r w:rsidR="00F4218E">
        <w:t>–</w:t>
      </w:r>
      <w:r w:rsidR="00304315">
        <w:t xml:space="preserve"> KP </w:t>
      </w:r>
      <w:r w:rsidR="00304315" w:rsidRPr="00304315">
        <w:t xml:space="preserve">8.8 </w:t>
      </w:r>
      <w:r w:rsidR="00304315">
        <w:t xml:space="preserve">and KP </w:t>
      </w:r>
      <w:r w:rsidR="00304315" w:rsidRPr="00304315">
        <w:t>41.1</w:t>
      </w:r>
      <w:r w:rsidR="00304315">
        <w:t xml:space="preserve"> </w:t>
      </w:r>
      <w:r w:rsidR="00F4218E">
        <w:t>–</w:t>
      </w:r>
      <w:r w:rsidR="00304315">
        <w:t xml:space="preserve"> KP </w:t>
      </w:r>
      <w:r w:rsidR="00304315" w:rsidRPr="00304315">
        <w:t>51)</w:t>
      </w:r>
      <w:r w:rsidR="009E3E2C">
        <w:t xml:space="preserve">, a new easement would be reserved for the area between KP 8.8 and KP 41.1. </w:t>
      </w:r>
      <w:r w:rsidR="00EF6761" w:rsidRPr="003E6485">
        <w:t xml:space="preserve">EMM LU3 </w:t>
      </w:r>
      <w:r w:rsidR="009E3E2C">
        <w:t>provides for</w:t>
      </w:r>
      <w:r w:rsidR="00EF6761" w:rsidRPr="003E6485">
        <w:t xml:space="preserve"> </w:t>
      </w:r>
      <w:r w:rsidR="00EF6761">
        <w:t>c</w:t>
      </w:r>
      <w:r w:rsidR="00EF6761" w:rsidRPr="003E6485">
        <w:t>ompensation for land would be</w:t>
      </w:r>
      <w:r w:rsidR="00EF6761">
        <w:t xml:space="preserve"> agreed and paid to directly affected landholders and</w:t>
      </w:r>
      <w:r w:rsidR="00EF6761" w:rsidRPr="003E6485">
        <w:t xml:space="preserve"> provided in accordance with the </w:t>
      </w:r>
      <w:r w:rsidR="00EF6761" w:rsidRPr="00EF6761">
        <w:rPr>
          <w:rStyle w:val="Italics"/>
        </w:rPr>
        <w:t>Pipelines Act 2005</w:t>
      </w:r>
      <w:r w:rsidR="00EF6761" w:rsidRPr="003E6485">
        <w:t xml:space="preserve"> and the </w:t>
      </w:r>
      <w:r w:rsidR="00EF6761" w:rsidRPr="00EF6761">
        <w:rPr>
          <w:rStyle w:val="Italics"/>
        </w:rPr>
        <w:t>Land Acquisition and Compensation Act 1986</w:t>
      </w:r>
      <w:r w:rsidR="00EF6761">
        <w:t>.</w:t>
      </w:r>
      <w:r w:rsidR="003C74B1">
        <w:t xml:space="preserve"> Engagement with directly affected landholders commenced in 2018 and would continue with individual negotiations through to agreement. </w:t>
      </w:r>
    </w:p>
    <w:p w14:paraId="16BC9894" w14:textId="78E2FFFA" w:rsidR="00064C83" w:rsidRPr="00064C83" w:rsidRDefault="00064C83" w:rsidP="00064C83">
      <w:pPr>
        <w:pStyle w:val="BodyText"/>
      </w:pPr>
      <w:r w:rsidRPr="00064C83">
        <w:t xml:space="preserve">The construction and operation </w:t>
      </w:r>
      <w:r w:rsidR="0081742E">
        <w:t>are</w:t>
      </w:r>
      <w:r w:rsidRPr="00064C83">
        <w:t xml:space="preserve"> described in Chapter 4 </w:t>
      </w:r>
      <w:r w:rsidRPr="00337199">
        <w:rPr>
          <w:rStyle w:val="Italics"/>
        </w:rPr>
        <w:t>Project Description</w:t>
      </w:r>
      <w:r w:rsidRPr="00064C83">
        <w:t xml:space="preserve">. </w:t>
      </w:r>
      <w:r w:rsidR="00430A7F">
        <w:t xml:space="preserve">Following appointment of a construction contractor, construction methodology </w:t>
      </w:r>
      <w:r w:rsidR="00EF4069">
        <w:t>would</w:t>
      </w:r>
      <w:r w:rsidR="00430A7F">
        <w:t xml:space="preserve"> be developed and refined further in accordance with the Project approval conditions. </w:t>
      </w:r>
    </w:p>
    <w:p w14:paraId="264E6A9E" w14:textId="4862077E" w:rsidR="00064C83" w:rsidRPr="00064C83" w:rsidRDefault="00064C83" w:rsidP="001943A9">
      <w:pPr>
        <w:pStyle w:val="Heading2"/>
      </w:pPr>
      <w:bookmarkStart w:id="92" w:name="_Toc62128815"/>
      <w:bookmarkStart w:id="93" w:name="_Toc62758898"/>
      <w:bookmarkStart w:id="94" w:name="_Toc62758933"/>
      <w:bookmarkStart w:id="95" w:name="_Toc62128816"/>
      <w:bookmarkStart w:id="96" w:name="_Toc62758899"/>
      <w:bookmarkStart w:id="97" w:name="_Toc62758934"/>
      <w:bookmarkStart w:id="98" w:name="_Toc62128817"/>
      <w:bookmarkStart w:id="99" w:name="_Toc62758900"/>
      <w:bookmarkStart w:id="100" w:name="_Toc62758935"/>
      <w:bookmarkStart w:id="101" w:name="_Toc62128818"/>
      <w:bookmarkStart w:id="102" w:name="_Toc62758901"/>
      <w:bookmarkStart w:id="103" w:name="_Toc62758936"/>
      <w:bookmarkStart w:id="104" w:name="_Toc62128819"/>
      <w:bookmarkStart w:id="105" w:name="_Toc62758902"/>
      <w:bookmarkStart w:id="106" w:name="_Toc62758937"/>
      <w:bookmarkStart w:id="107" w:name="_Toc62128820"/>
      <w:bookmarkStart w:id="108" w:name="_Toc62758903"/>
      <w:bookmarkStart w:id="109" w:name="_Toc62758938"/>
      <w:bookmarkStart w:id="110" w:name="_Toc62128821"/>
      <w:bookmarkStart w:id="111" w:name="_Toc62758904"/>
      <w:bookmarkStart w:id="112" w:name="_Toc62758939"/>
      <w:bookmarkStart w:id="113" w:name="_Toc62128822"/>
      <w:bookmarkStart w:id="114" w:name="_Toc62758905"/>
      <w:bookmarkStart w:id="115" w:name="_Toc62758940"/>
      <w:bookmarkStart w:id="116" w:name="_Toc62128823"/>
      <w:bookmarkStart w:id="117" w:name="_Toc62758906"/>
      <w:bookmarkStart w:id="118" w:name="_Toc62758941"/>
      <w:bookmarkStart w:id="119" w:name="_Toc62128824"/>
      <w:bookmarkStart w:id="120" w:name="_Toc62758907"/>
      <w:bookmarkStart w:id="121" w:name="_Toc62758942"/>
      <w:bookmarkStart w:id="122" w:name="_Toc62128825"/>
      <w:bookmarkStart w:id="123" w:name="_Toc62758908"/>
      <w:bookmarkStart w:id="124" w:name="_Toc62758943"/>
      <w:bookmarkStart w:id="125" w:name="_Toc62758944"/>
      <w:bookmarkStart w:id="126" w:name="_Toc71242086"/>
      <w:bookmarkStart w:id="127" w:name="_Toc7219865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9E5982">
        <w:t>What if the Project does not proceed</w:t>
      </w:r>
      <w:r w:rsidRPr="00064C83">
        <w:t xml:space="preserve"> (‘no</w:t>
      </w:r>
      <w:r w:rsidR="003A214F">
        <w:noBreakHyphen/>
      </w:r>
      <w:r w:rsidRPr="00064C83">
        <w:t>project’ scenario)?</w:t>
      </w:r>
      <w:bookmarkEnd w:id="125"/>
      <w:bookmarkEnd w:id="126"/>
      <w:bookmarkEnd w:id="127"/>
      <w:r w:rsidRPr="00064C83">
        <w:t xml:space="preserve"> </w:t>
      </w:r>
    </w:p>
    <w:p w14:paraId="2B55AF44" w14:textId="50960C0B" w:rsidR="007210C3" w:rsidRDefault="00064C83" w:rsidP="00064C83">
      <w:pPr>
        <w:pStyle w:val="BodyText"/>
      </w:pPr>
      <w:r w:rsidRPr="009E5982">
        <w:t xml:space="preserve">As discussed in Chapter </w:t>
      </w:r>
      <w:r>
        <w:t>2</w:t>
      </w:r>
      <w:r w:rsidR="00977B52">
        <w:t xml:space="preserve"> </w:t>
      </w:r>
      <w:r w:rsidR="00977B52" w:rsidRPr="00337199">
        <w:rPr>
          <w:rStyle w:val="Italics"/>
        </w:rPr>
        <w:t>Project rationale</w:t>
      </w:r>
      <w:r w:rsidRPr="009E5982">
        <w:t xml:space="preserve">, AEMO have identified </w:t>
      </w:r>
      <w:r>
        <w:t xml:space="preserve">in the </w:t>
      </w:r>
      <w:r w:rsidRPr="00C51E7D">
        <w:rPr>
          <w:rStyle w:val="Italics"/>
        </w:rPr>
        <w:t>Victorian Gas Planning Report 2020</w:t>
      </w:r>
      <w:r>
        <w:t xml:space="preserve"> </w:t>
      </w:r>
      <w:r w:rsidR="00D70D05">
        <w:t xml:space="preserve">and </w:t>
      </w:r>
      <w:r w:rsidR="00D70D05" w:rsidRPr="00612E89">
        <w:rPr>
          <w:rStyle w:val="Italics"/>
        </w:rPr>
        <w:t>Victorian Gas Planning Report 2021</w:t>
      </w:r>
      <w:r w:rsidR="00D70D05">
        <w:t xml:space="preserve"> </w:t>
      </w:r>
      <w:r w:rsidRPr="009E5982">
        <w:t xml:space="preserve">that Victoria is at risk of a gas supply shortage during high-demand periods from winter 2023 onwards due to </w:t>
      </w:r>
      <w:r>
        <w:t xml:space="preserve">a </w:t>
      </w:r>
      <w:r w:rsidRPr="009E5982">
        <w:t xml:space="preserve">combination of uncertainty in future gas supply for the state, </w:t>
      </w:r>
      <w:proofErr w:type="gramStart"/>
      <w:r w:rsidRPr="009E5982">
        <w:t>and also</w:t>
      </w:r>
      <w:proofErr w:type="gramEnd"/>
      <w:r w:rsidRPr="009E5982">
        <w:t xml:space="preserve"> network capacity constraints including the lack of a high-pressure gas connection between the Iona U</w:t>
      </w:r>
      <w:r>
        <w:t>GS</w:t>
      </w:r>
      <w:r w:rsidRPr="009E5982">
        <w:t xml:space="preserve"> and the</w:t>
      </w:r>
      <w:r>
        <w:t xml:space="preserve"> balance of the VTS system in Victoria’s north and east.</w:t>
      </w:r>
    </w:p>
    <w:p w14:paraId="6D896540" w14:textId="6A3D8DD0" w:rsidR="00064C83" w:rsidRDefault="00064C83" w:rsidP="00064C83">
      <w:pPr>
        <w:pStyle w:val="BodyText"/>
      </w:pPr>
      <w:r>
        <w:t>If the Project (</w:t>
      </w:r>
      <w:r w:rsidR="00977B52">
        <w:t xml:space="preserve">as proposed </w:t>
      </w:r>
      <w:r>
        <w:t xml:space="preserve">or a feasible alternative route) does not proceed and a high-pressure connection is not established prior to winter 2023, then gas supplied from future sources which are largely expected to occur in Victoria’s east </w:t>
      </w:r>
      <w:r w:rsidR="00EF4069">
        <w:t>would</w:t>
      </w:r>
      <w:r>
        <w:t xml:space="preserve"> need to continue to be transferred through the low-pressure pipeline network of central Melbourne </w:t>
      </w:r>
      <w:proofErr w:type="gramStart"/>
      <w:r>
        <w:t>in order to</w:t>
      </w:r>
      <w:proofErr w:type="gramEnd"/>
      <w:r>
        <w:t xml:space="preserve"> be stored at the Iona UGS for winter.</w:t>
      </w:r>
    </w:p>
    <w:p w14:paraId="4AFE2AA1" w14:textId="3B74329A" w:rsidR="00064C83" w:rsidRDefault="00064C83" w:rsidP="00064C83">
      <w:pPr>
        <w:pStyle w:val="BodyText"/>
      </w:pPr>
      <w:r>
        <w:t xml:space="preserve">Despite adequate gas supply in Victoria’s east, the existing network capacity constraints </w:t>
      </w:r>
      <w:r w:rsidR="00EF4069">
        <w:t>would</w:t>
      </w:r>
      <w:r>
        <w:t xml:space="preserve"> mean that the amount of excess gas that can be transferred from the east to the west over summer </w:t>
      </w:r>
      <w:r w:rsidR="00EF4069">
        <w:t>would</w:t>
      </w:r>
      <w:r>
        <w:t xml:space="preserve"> be limited and </w:t>
      </w:r>
      <w:r w:rsidR="00EF4069">
        <w:t>would</w:t>
      </w:r>
      <w:r>
        <w:t xml:space="preserve"> not be sufficient to meet Iona UGS’s storage requirements for Victoria’s winter peak in gas demand from 2023.</w:t>
      </w:r>
    </w:p>
    <w:p w14:paraId="13B64F5D" w14:textId="73C60739" w:rsidR="00064C83" w:rsidRDefault="00064C83" w:rsidP="00064C83">
      <w:pPr>
        <w:pStyle w:val="BodyText"/>
      </w:pPr>
      <w:r>
        <w:lastRenderedPageBreak/>
        <w:t xml:space="preserve">This would result in a further tightening of the supply-demand balance for gas and result in adverse energy security, </w:t>
      </w:r>
      <w:proofErr w:type="gramStart"/>
      <w:r>
        <w:t>efficiency</w:t>
      </w:r>
      <w:proofErr w:type="gramEnd"/>
      <w:r>
        <w:t xml:space="preserve"> and affordability in Victoria as potential gas shortages over winter would impact households, businesses and also the ability of gas-fired power generators to produce alternative forms of energy for Victorians when they need it most. More efficient gas transmission </w:t>
      </w:r>
      <w:r w:rsidR="00EF4069">
        <w:t>would</w:t>
      </w:r>
      <w:r>
        <w:t xml:space="preserve"> also facilitate the development of the renewable energy sector</w:t>
      </w:r>
      <w:r w:rsidR="00C51E7D">
        <w:t xml:space="preserve"> (refer to Section 2.3.3)</w:t>
      </w:r>
      <w:r>
        <w:t>.</w:t>
      </w:r>
    </w:p>
    <w:p w14:paraId="6AFCFF0E" w14:textId="1C2C8211" w:rsidR="00064C83" w:rsidRDefault="00064C83" w:rsidP="00064C83">
      <w:pPr>
        <w:pStyle w:val="BodyText"/>
      </w:pPr>
      <w:r>
        <w:t>As discussed in Chapter 2</w:t>
      </w:r>
      <w:r w:rsidR="00541105">
        <w:t xml:space="preserve"> </w:t>
      </w:r>
      <w:r w:rsidR="00541105" w:rsidRPr="00337199">
        <w:rPr>
          <w:rStyle w:val="Italics"/>
        </w:rPr>
        <w:t>Project Rationale</w:t>
      </w:r>
      <w:r>
        <w:t xml:space="preserve">, the Victorian Government has highlighted the importance of gas security, </w:t>
      </w:r>
      <w:proofErr w:type="gramStart"/>
      <w:r>
        <w:t>reliability</w:t>
      </w:r>
      <w:proofErr w:type="gramEnd"/>
      <w:r>
        <w:t xml:space="preserve"> and affordability in supporting the State’s transition to a cleaner energy future. Should the </w:t>
      </w:r>
      <w:r w:rsidR="0006658D">
        <w:t>P</w:t>
      </w:r>
      <w:r>
        <w:t xml:space="preserve">roject not proceed, renewable energy facilities which use </w:t>
      </w:r>
      <w:r w:rsidR="009155CE">
        <w:t>gas-fired peaker power stations to provide a firm back-up supply to support intermittent renewable generation,</w:t>
      </w:r>
      <w:r>
        <w:t xml:space="preserve"> may face operational challenges and uncertainty, both in times of peak demand and as the renewable energy sector continues to develop over the coming years.</w:t>
      </w:r>
      <w:r w:rsidR="00563D40">
        <w:t xml:space="preserve"> </w:t>
      </w:r>
      <w:r>
        <w:t xml:space="preserve">The </w:t>
      </w:r>
      <w:r w:rsidR="0006658D">
        <w:t>P</w:t>
      </w:r>
      <w:r>
        <w:t xml:space="preserve">roject focuses on stabilising the supply-demand balance for gas by enhancing the operational efficiency of Victoria’s network infrastructure and </w:t>
      </w:r>
      <w:r w:rsidR="00144638">
        <w:t>efficiently transferring</w:t>
      </w:r>
      <w:r>
        <w:t xml:space="preserve"> gas</w:t>
      </w:r>
      <w:r w:rsidR="00144638">
        <w:t xml:space="preserve"> volumes</w:t>
      </w:r>
      <w:r>
        <w:t xml:space="preserve"> around the state</w:t>
      </w:r>
      <w:r w:rsidR="00144638">
        <w:t xml:space="preserve"> to meet Iona UGS's storage requirements</w:t>
      </w:r>
      <w:r>
        <w:t xml:space="preserve">. No direct changes to gas production rates or user demand across Victoria </w:t>
      </w:r>
      <w:r w:rsidR="00144638">
        <w:t>are</w:t>
      </w:r>
      <w:r>
        <w:t xml:space="preserve"> expected to occur </w:t>
      </w:r>
      <w:proofErr w:type="gramStart"/>
      <w:r>
        <w:t>as a result of</w:t>
      </w:r>
      <w:proofErr w:type="gramEnd"/>
      <w:r>
        <w:t xml:space="preserve"> the network improvement works.</w:t>
      </w:r>
    </w:p>
    <w:p w14:paraId="06D19CBF" w14:textId="0F100847" w:rsidR="00064C83" w:rsidRDefault="00064C83" w:rsidP="00064C83">
      <w:pPr>
        <w:pStyle w:val="BodyText"/>
      </w:pPr>
      <w:r>
        <w:t xml:space="preserve">The </w:t>
      </w:r>
      <w:r w:rsidR="0006658D">
        <w:t>Project</w:t>
      </w:r>
      <w:r>
        <w:t xml:space="preserve"> supports the important role gas </w:t>
      </w:r>
      <w:r w:rsidR="00EF4069">
        <w:t>would</w:t>
      </w:r>
      <w:r>
        <w:t xml:space="preserve"> continue to play in the state’s energy mix – acknowledging gas comprises a small yet critical component of this mix. </w:t>
      </w:r>
    </w:p>
    <w:p w14:paraId="1A29F0B5" w14:textId="47DC3006" w:rsidR="00D73A50" w:rsidRDefault="00064C83" w:rsidP="00064C83">
      <w:pPr>
        <w:pStyle w:val="BodyText"/>
      </w:pPr>
      <w:r>
        <w:t xml:space="preserve">Further information on the Project rationale and the implications of the no-project scenario is provided in Chapter 2 </w:t>
      </w:r>
      <w:r w:rsidRPr="00337199">
        <w:rPr>
          <w:rStyle w:val="Italics"/>
        </w:rPr>
        <w:t>Project Rationale</w:t>
      </w:r>
      <w:r>
        <w:t xml:space="preserve">. </w:t>
      </w:r>
    </w:p>
    <w:p w14:paraId="7BCAD6E8" w14:textId="2CADC511" w:rsidR="00860675" w:rsidRDefault="00860675" w:rsidP="00860675">
      <w:pPr>
        <w:pStyle w:val="BodyText"/>
      </w:pPr>
      <w:r>
        <w:t xml:space="preserve">This EES has documented a comprehensive assessment of the predicted </w:t>
      </w:r>
      <w:r w:rsidR="00AD391F">
        <w:t>benefits</w:t>
      </w:r>
      <w:r>
        <w:t xml:space="preserve"> and adverse impacts from the construction and operation of the Project. These potential residual impacts are described in the impact assessment Chapters 7 to Chapter 18 and related technical reports. Chapter 20 </w:t>
      </w:r>
      <w:r w:rsidRPr="001943A9">
        <w:rPr>
          <w:rStyle w:val="Italics"/>
        </w:rPr>
        <w:t>Conclusion</w:t>
      </w:r>
      <w:r>
        <w:t xml:space="preserve"> provides an overview of the Project's predicted impacts.</w:t>
      </w:r>
      <w:r w:rsidR="00563D40">
        <w:t xml:space="preserve"> </w:t>
      </w:r>
    </w:p>
    <w:p w14:paraId="21EFB86F" w14:textId="086C7465" w:rsidR="004E774D" w:rsidRDefault="0086566F" w:rsidP="00860675">
      <w:pPr>
        <w:pStyle w:val="BodyText"/>
      </w:pPr>
      <w:r>
        <w:t xml:space="preserve">Key predicted </w:t>
      </w:r>
      <w:r w:rsidR="00E5118E">
        <w:t xml:space="preserve">impacts that would not occur if the Project does not proceed include social impacts caused from construction. </w:t>
      </w:r>
      <w:r w:rsidR="00D277C6">
        <w:t>I</w:t>
      </w:r>
      <w:r w:rsidR="00E5118E">
        <w:t>mpacts include</w:t>
      </w:r>
      <w:r w:rsidR="004E774D">
        <w:t>:</w:t>
      </w:r>
    </w:p>
    <w:p w14:paraId="3F18C68B" w14:textId="50A25696" w:rsidR="004E774D" w:rsidRDefault="004E774D" w:rsidP="00B32E83">
      <w:pPr>
        <w:pStyle w:val="BodyBullet1"/>
      </w:pPr>
      <w:r>
        <w:t>T</w:t>
      </w:r>
      <w:r w:rsidR="00D277C6">
        <w:t xml:space="preserve">emporary </w:t>
      </w:r>
      <w:r w:rsidR="00E5118E">
        <w:t xml:space="preserve">impacts to residents and communities from </w:t>
      </w:r>
      <w:r w:rsidR="00D277C6">
        <w:t xml:space="preserve">construction </w:t>
      </w:r>
      <w:r w:rsidR="00E5118E">
        <w:t>noise</w:t>
      </w:r>
      <w:r w:rsidR="00594EA1">
        <w:t xml:space="preserve">, </w:t>
      </w:r>
      <w:proofErr w:type="gramStart"/>
      <w:r w:rsidR="00594EA1">
        <w:t>vibration</w:t>
      </w:r>
      <w:proofErr w:type="gramEnd"/>
      <w:r w:rsidR="00E5118E">
        <w:t xml:space="preserve"> or dust </w:t>
      </w:r>
      <w:r w:rsidR="00594EA1">
        <w:t xml:space="preserve">emissions </w:t>
      </w:r>
      <w:r w:rsidR="00D277C6">
        <w:t>during</w:t>
      </w:r>
      <w:r w:rsidR="00E5118E">
        <w:t xml:space="preserve"> construction</w:t>
      </w:r>
    </w:p>
    <w:p w14:paraId="1409C319" w14:textId="14A3CF65" w:rsidR="004E774D" w:rsidRDefault="004E774D" w:rsidP="00B32E83">
      <w:pPr>
        <w:pStyle w:val="BodyBullet1"/>
      </w:pPr>
      <w:r>
        <w:t>T</w:t>
      </w:r>
      <w:r w:rsidR="00E5118E">
        <w:t>emporary changes to amenity for residents and the community</w:t>
      </w:r>
      <w:r w:rsidR="00D277C6">
        <w:t xml:space="preserve"> and</w:t>
      </w:r>
      <w:r w:rsidR="00E5118E">
        <w:t xml:space="preserve"> community facilities </w:t>
      </w:r>
      <w:proofErr w:type="gramStart"/>
      <w:r w:rsidR="00E5118E">
        <w:t>as a result of</w:t>
      </w:r>
      <w:proofErr w:type="gramEnd"/>
      <w:r w:rsidR="00E5118E">
        <w:t xml:space="preserve"> the Project's construction activities</w:t>
      </w:r>
    </w:p>
    <w:p w14:paraId="2DAEE87E" w14:textId="744D3C05" w:rsidR="004E774D" w:rsidRDefault="004E774D" w:rsidP="00B32E83">
      <w:pPr>
        <w:pStyle w:val="BodyBullet1"/>
      </w:pPr>
      <w:r>
        <w:t>T</w:t>
      </w:r>
      <w:r w:rsidR="00D277C6">
        <w:t>emporary occupation</w:t>
      </w:r>
      <w:r w:rsidR="00594EA1">
        <w:t xml:space="preserve"> by construction activities, could impact agri-business and reduce property</w:t>
      </w:r>
      <w:r w:rsidR="003A214F">
        <w:t> </w:t>
      </w:r>
      <w:r w:rsidR="00594EA1">
        <w:t>productivity</w:t>
      </w:r>
    </w:p>
    <w:p w14:paraId="04DF68EE" w14:textId="3C7AAA31" w:rsidR="004E774D" w:rsidRDefault="00D277C6" w:rsidP="00B32E83">
      <w:pPr>
        <w:pStyle w:val="BodyBullet1"/>
      </w:pPr>
      <w:r>
        <w:t>P</w:t>
      </w:r>
      <w:r w:rsidR="00594EA1">
        <w:t xml:space="preserve">roperty access could be disrupted to </w:t>
      </w:r>
      <w:r>
        <w:t xml:space="preserve">a small number of </w:t>
      </w:r>
      <w:r w:rsidR="00594EA1">
        <w:t>properties</w:t>
      </w:r>
      <w:r w:rsidR="004E774D">
        <w:t xml:space="preserve"> with changed access arrangements required</w:t>
      </w:r>
      <w:r w:rsidR="00594EA1">
        <w:t>.</w:t>
      </w:r>
    </w:p>
    <w:p w14:paraId="542534C8" w14:textId="77777777" w:rsidR="004E774D" w:rsidRDefault="00D277C6" w:rsidP="00860675">
      <w:pPr>
        <w:pStyle w:val="BodyText"/>
      </w:pPr>
      <w:r>
        <w:t>Key predicted permanent impacts that would not occur if the Project does not proceed include</w:t>
      </w:r>
      <w:r w:rsidR="004E774D">
        <w:t>:</w:t>
      </w:r>
    </w:p>
    <w:p w14:paraId="123E28FC" w14:textId="2C252FDE" w:rsidR="004E774D" w:rsidRDefault="004E774D" w:rsidP="00B32E83">
      <w:pPr>
        <w:pStyle w:val="BodyBullet1"/>
      </w:pPr>
      <w:r>
        <w:t>E</w:t>
      </w:r>
      <w:r w:rsidR="00D277C6">
        <w:t>nvironmental impacts caused by disturbance or removal of native vegetation and fauna habitat, and disturbance of waterways</w:t>
      </w:r>
    </w:p>
    <w:p w14:paraId="1B8A6DB8" w14:textId="1DC3B765" w:rsidR="00E5118E" w:rsidRDefault="004E774D" w:rsidP="00B32E83">
      <w:pPr>
        <w:pStyle w:val="BodyBullet1"/>
      </w:pPr>
      <w:r>
        <w:t>Impacts to existing Aboriginal cultural heritage.</w:t>
      </w:r>
    </w:p>
    <w:p w14:paraId="376AC9E5" w14:textId="399AB327" w:rsidR="00860675" w:rsidRPr="00F4218E" w:rsidRDefault="00860675" w:rsidP="00860675">
      <w:pPr>
        <w:pStyle w:val="BodyText"/>
      </w:pPr>
      <w:r w:rsidRPr="00F4218E">
        <w:t xml:space="preserve">Should the Project not proceed, these predicted environmental and social impacts would not occur. </w:t>
      </w:r>
    </w:p>
    <w:sectPr w:rsidR="00860675" w:rsidRPr="00F4218E" w:rsidSect="00295CCD">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FEF32" w14:textId="77777777" w:rsidR="00677F7C" w:rsidRDefault="00677F7C" w:rsidP="00A02FC6">
      <w:r>
        <w:separator/>
      </w:r>
    </w:p>
  </w:endnote>
  <w:endnote w:type="continuationSeparator" w:id="0">
    <w:p w14:paraId="1D514332" w14:textId="77777777" w:rsidR="00677F7C" w:rsidRDefault="00677F7C" w:rsidP="00A02FC6">
      <w:r>
        <w:continuationSeparator/>
      </w:r>
    </w:p>
  </w:endnote>
  <w:endnote w:type="continuationNotice" w:id="1">
    <w:p w14:paraId="74A083BC" w14:textId="77777777" w:rsidR="00677F7C" w:rsidRDefault="00677F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F6CA" w14:textId="0AB50F81" w:rsidR="00677F7C" w:rsidRPr="00A825FD" w:rsidRDefault="00677F7C" w:rsidP="00A81947">
    <w:pPr>
      <w:pStyle w:val="Footer"/>
    </w:pPr>
    <w:r>
      <w:rPr>
        <w:noProof w:val="0"/>
      </w:rPr>
      <w:fldChar w:fldCharType="begin"/>
    </w:r>
    <w:r>
      <w:instrText xml:space="preserve"> PAGE   \* MERGEFORMAT </w:instrText>
    </w:r>
    <w:r>
      <w:rPr>
        <w:noProof w:val="0"/>
      </w:rPr>
      <w:fldChar w:fldCharType="separate"/>
    </w:r>
    <w:r>
      <w:t>3-8</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D21058">
      <w:instrText>3</w:instrText>
    </w:r>
    <w:r>
      <w:fldChar w:fldCharType="end"/>
    </w:r>
    <w:r>
      <w:instrText>&lt;&gt;"Error*""</w:instrText>
    </w:r>
    <w:r>
      <w:fldChar w:fldCharType="begin"/>
    </w:r>
    <w:r>
      <w:instrText xml:space="preserve"> STYLEREF "Heading 1" </w:instrText>
    </w:r>
    <w:r w:rsidRPr="004F4EF2">
      <w:instrText>\n</w:instrText>
    </w:r>
    <w:r>
      <w:fldChar w:fldCharType="separate"/>
    </w:r>
    <w:r w:rsidR="00D21058">
      <w:instrText>3</w:instrText>
    </w:r>
    <w:r>
      <w:fldChar w:fldCharType="end"/>
    </w:r>
    <w:r>
      <w:instrText>"</w:instrText>
    </w:r>
    <w:r>
      <w:fldChar w:fldCharType="separate"/>
    </w:r>
    <w:r w:rsidR="00D21058">
      <w:t>3</w:t>
    </w:r>
    <w:r>
      <w:fldChar w:fldCharType="end"/>
    </w:r>
    <w:r w:rsidRPr="004F4EF2">
      <w:t xml:space="preserve"> | </w:t>
    </w:r>
    <w:r>
      <w:fldChar w:fldCharType="begin"/>
    </w:r>
    <w:r>
      <w:instrText xml:space="preserve"> IF</w:instrText>
    </w:r>
    <w:r>
      <w:fldChar w:fldCharType="begin"/>
    </w:r>
    <w:r>
      <w:instrText xml:space="preserve"> STYLEREF "Heading 1" </w:instrText>
    </w:r>
    <w:r>
      <w:fldChar w:fldCharType="separate"/>
    </w:r>
    <w:r w:rsidR="00D21058">
      <w:instrText>Project development and alternatives</w:instrText>
    </w:r>
    <w:r>
      <w:fldChar w:fldCharType="end"/>
    </w:r>
    <w:r>
      <w:instrText>&lt;&gt;"Error*""</w:instrText>
    </w:r>
    <w:r>
      <w:fldChar w:fldCharType="begin"/>
    </w:r>
    <w:r>
      <w:instrText xml:space="preserve"> STYLEREF "Heading 1" </w:instrText>
    </w:r>
    <w:r>
      <w:fldChar w:fldCharType="separate"/>
    </w:r>
    <w:r w:rsidR="00D21058">
      <w:instrText>Project development and alternatives</w:instrText>
    </w:r>
    <w:r>
      <w:fldChar w:fldCharType="end"/>
    </w:r>
    <w:r>
      <w:instrText>"</w:instrText>
    </w:r>
    <w:r>
      <w:fldChar w:fldCharType="separate"/>
    </w:r>
    <w:r w:rsidR="00D21058">
      <w:t>Project development and alternatives</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2D1F" w14:textId="65C05311" w:rsidR="00677F7C" w:rsidRPr="00204A6F" w:rsidRDefault="00677F7C"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DE0205">
      <w:instrText>3</w:instrText>
    </w:r>
    <w:r>
      <w:fldChar w:fldCharType="end"/>
    </w:r>
    <w:r>
      <w:instrText>&lt;&gt;"Error*""</w:instrText>
    </w:r>
    <w:r>
      <w:fldChar w:fldCharType="begin"/>
    </w:r>
    <w:r>
      <w:instrText xml:space="preserve"> STYLEREF "Heading 1" </w:instrText>
    </w:r>
    <w:r w:rsidRPr="004F4EF2">
      <w:instrText>\n</w:instrText>
    </w:r>
    <w:r>
      <w:fldChar w:fldCharType="separate"/>
    </w:r>
    <w:r w:rsidR="00DE0205">
      <w:instrText>3</w:instrText>
    </w:r>
    <w:r>
      <w:fldChar w:fldCharType="end"/>
    </w:r>
    <w:r>
      <w:instrText>"</w:instrText>
    </w:r>
    <w:r>
      <w:fldChar w:fldCharType="separate"/>
    </w:r>
    <w:r w:rsidR="00DE0205">
      <w:t>3</w:t>
    </w:r>
    <w:r>
      <w:fldChar w:fldCharType="end"/>
    </w:r>
    <w:r w:rsidRPr="004F4EF2">
      <w:t xml:space="preserve"> | </w:t>
    </w:r>
    <w:r>
      <w:fldChar w:fldCharType="begin"/>
    </w:r>
    <w:r>
      <w:instrText xml:space="preserve"> IF</w:instrText>
    </w:r>
    <w:r>
      <w:fldChar w:fldCharType="begin"/>
    </w:r>
    <w:r>
      <w:instrText xml:space="preserve"> STYLEREF "Heading 1" </w:instrText>
    </w:r>
    <w:r>
      <w:fldChar w:fldCharType="separate"/>
    </w:r>
    <w:r w:rsidR="00DE0205">
      <w:instrText>Project development and alternatives</w:instrText>
    </w:r>
    <w:r>
      <w:fldChar w:fldCharType="end"/>
    </w:r>
    <w:r>
      <w:instrText>&lt;&gt;"Error*""</w:instrText>
    </w:r>
    <w:r>
      <w:fldChar w:fldCharType="begin"/>
    </w:r>
    <w:r>
      <w:instrText xml:space="preserve"> STYLEREF "Heading 1" </w:instrText>
    </w:r>
    <w:r>
      <w:fldChar w:fldCharType="separate"/>
    </w:r>
    <w:r w:rsidR="00DE0205">
      <w:instrText>Project development and alternatives</w:instrText>
    </w:r>
    <w:r>
      <w:fldChar w:fldCharType="end"/>
    </w:r>
    <w:r>
      <w:instrText>"</w:instrText>
    </w:r>
    <w:r>
      <w:fldChar w:fldCharType="separate"/>
    </w:r>
    <w:r w:rsidR="00DE0205">
      <w:t>Project development and alternatives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3-9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1C1C" w14:textId="12EEEAAF" w:rsidR="00677F7C" w:rsidRPr="00204A6F" w:rsidRDefault="00677F7C"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D21058">
      <w:instrText>3</w:instrText>
    </w:r>
    <w:r>
      <w:fldChar w:fldCharType="end"/>
    </w:r>
    <w:r>
      <w:instrText>&lt;&gt;"Error*""</w:instrText>
    </w:r>
    <w:r>
      <w:fldChar w:fldCharType="begin"/>
    </w:r>
    <w:r>
      <w:instrText xml:space="preserve"> STYLEREF "Heading 1" </w:instrText>
    </w:r>
    <w:r w:rsidRPr="004F4EF2">
      <w:instrText>\n</w:instrText>
    </w:r>
    <w:r>
      <w:fldChar w:fldCharType="separate"/>
    </w:r>
    <w:r w:rsidR="00D21058">
      <w:instrText>3</w:instrText>
    </w:r>
    <w:r>
      <w:fldChar w:fldCharType="end"/>
    </w:r>
    <w:r>
      <w:instrText>"</w:instrText>
    </w:r>
    <w:r>
      <w:fldChar w:fldCharType="separate"/>
    </w:r>
    <w:r w:rsidR="00D21058">
      <w:t>3</w:t>
    </w:r>
    <w:r>
      <w:fldChar w:fldCharType="end"/>
    </w:r>
    <w:r w:rsidRPr="004F4EF2">
      <w:t xml:space="preserve"> | </w:t>
    </w:r>
    <w:r>
      <w:fldChar w:fldCharType="begin"/>
    </w:r>
    <w:r>
      <w:instrText xml:space="preserve"> IF</w:instrText>
    </w:r>
    <w:r>
      <w:fldChar w:fldCharType="begin"/>
    </w:r>
    <w:r>
      <w:instrText xml:space="preserve"> STYLEREF "Heading 1" </w:instrText>
    </w:r>
    <w:r>
      <w:fldChar w:fldCharType="separate"/>
    </w:r>
    <w:r w:rsidR="00D21058">
      <w:instrText>Project development and alternatives</w:instrText>
    </w:r>
    <w:r>
      <w:fldChar w:fldCharType="end"/>
    </w:r>
    <w:r>
      <w:instrText>&lt;&gt;"Error*""</w:instrText>
    </w:r>
    <w:r>
      <w:fldChar w:fldCharType="begin"/>
    </w:r>
    <w:r>
      <w:instrText xml:space="preserve"> STYLEREF "Heading 1" </w:instrText>
    </w:r>
    <w:r>
      <w:fldChar w:fldCharType="separate"/>
    </w:r>
    <w:r w:rsidR="00D21058">
      <w:instrText>Project development and alternatives</w:instrText>
    </w:r>
    <w:r>
      <w:fldChar w:fldCharType="end"/>
    </w:r>
    <w:r>
      <w:instrText>"</w:instrText>
    </w:r>
    <w:r>
      <w:fldChar w:fldCharType="separate"/>
    </w:r>
    <w:r w:rsidR="00D21058">
      <w:t>Project development and alternatives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59082" w14:textId="77777777" w:rsidR="00677F7C" w:rsidRDefault="00677F7C" w:rsidP="0036083B">
      <w:pPr>
        <w:spacing w:before="360"/>
      </w:pPr>
      <w:r>
        <w:separator/>
      </w:r>
    </w:p>
  </w:footnote>
  <w:footnote w:type="continuationSeparator" w:id="0">
    <w:p w14:paraId="687A9990" w14:textId="77777777" w:rsidR="00677F7C" w:rsidRDefault="00677F7C" w:rsidP="0036083B">
      <w:pPr>
        <w:spacing w:before="360"/>
      </w:pPr>
      <w:r>
        <w:continuationSeparator/>
      </w:r>
    </w:p>
  </w:footnote>
  <w:footnote w:type="continuationNotice" w:id="1">
    <w:p w14:paraId="4952D079" w14:textId="77777777" w:rsidR="00677F7C" w:rsidRDefault="00677F7C" w:rsidP="00A02FC6"/>
  </w:footnote>
  <w:footnote w:id="2">
    <w:p w14:paraId="378E77E4" w14:textId="3D098FD5" w:rsidR="00677F7C" w:rsidRPr="00076F49" w:rsidRDefault="00677F7C">
      <w:pPr>
        <w:pStyle w:val="FootnoteText"/>
        <w:rPr>
          <w:lang w:val="fr-FR"/>
        </w:rPr>
      </w:pPr>
      <w:r>
        <w:rPr>
          <w:rStyle w:val="FootnoteReference"/>
        </w:rPr>
        <w:footnoteRef/>
      </w:r>
      <w:r>
        <w:rPr>
          <w:lang w:val="fr-FR"/>
        </w:rPr>
        <w:tab/>
      </w:r>
      <w:r w:rsidRPr="00076F49">
        <w:rPr>
          <w:lang w:val="fr-FR"/>
        </w:rPr>
        <w:t>APA (2019) Route Options Report, page 10</w:t>
      </w:r>
      <w:r>
        <w:rPr>
          <w:lang w:val="fr-FR"/>
        </w:rPr>
        <w:t>–</w:t>
      </w:r>
      <w:r w:rsidRPr="00076F49">
        <w:rPr>
          <w:lang w:val="fr-FR"/>
        </w:rPr>
        <w:t>12</w:t>
      </w:r>
      <w:r>
        <w:rPr>
          <w:lang w:val="fr-FR"/>
        </w:rPr>
        <w:t>.</w:t>
      </w:r>
    </w:p>
  </w:footnote>
  <w:footnote w:id="3">
    <w:p w14:paraId="285BD883" w14:textId="4FB8B88D" w:rsidR="00677F7C" w:rsidRPr="00076F49" w:rsidRDefault="00677F7C">
      <w:pPr>
        <w:pStyle w:val="FootnoteText"/>
        <w:rPr>
          <w:lang w:val="fr-FR"/>
        </w:rPr>
      </w:pPr>
      <w:r>
        <w:rPr>
          <w:rStyle w:val="FootnoteReference"/>
        </w:rPr>
        <w:footnoteRef/>
      </w:r>
      <w:r>
        <w:rPr>
          <w:lang w:val="fr-FR"/>
        </w:rPr>
        <w:tab/>
      </w:r>
      <w:r w:rsidRPr="00076F49">
        <w:rPr>
          <w:lang w:val="fr-FR"/>
        </w:rPr>
        <w:t>APA (2019) Route Options Report, page 18</w:t>
      </w:r>
      <w:r>
        <w:rPr>
          <w:lang w:val="fr-FR"/>
        </w:rPr>
        <w:t>–</w:t>
      </w:r>
      <w:r w:rsidRPr="00076F49">
        <w:rPr>
          <w:lang w:val="fr-FR"/>
        </w:rPr>
        <w:t>19</w:t>
      </w:r>
      <w:r>
        <w:rPr>
          <w:lang w:val="fr-FR"/>
        </w:rPr>
        <w:t>.</w:t>
      </w:r>
    </w:p>
  </w:footnote>
  <w:footnote w:id="4">
    <w:p w14:paraId="627A1E19" w14:textId="471C15D7" w:rsidR="00677F7C" w:rsidRDefault="00677F7C" w:rsidP="00295CCD">
      <w:pPr>
        <w:pStyle w:val="FootnoteText"/>
      </w:pPr>
      <w:r>
        <w:rPr>
          <w:rStyle w:val="FootnoteReference"/>
        </w:rPr>
        <w:footnoteRef/>
      </w:r>
      <w:r>
        <w:tab/>
      </w:r>
      <w:hyperlink r:id="rId1" w:history="1">
        <w:r w:rsidRPr="00554796">
          <w:rPr>
            <w:rStyle w:val="Hyperlink"/>
          </w:rPr>
          <w:t>https://www.apa.com.au/globalassets/about-apa/our-projects/western-outer-ring-main-project/western-outer-ring-main-project-route-options-report.pdf</w:t>
        </w:r>
      </w:hyperlink>
      <w:r>
        <w:t>.</w:t>
      </w:r>
    </w:p>
  </w:footnote>
  <w:footnote w:id="5">
    <w:p w14:paraId="1C35576D" w14:textId="0FE1B5F5" w:rsidR="00677F7C" w:rsidRPr="00076F49" w:rsidRDefault="00677F7C">
      <w:pPr>
        <w:pStyle w:val="FootnoteText"/>
      </w:pPr>
      <w:r>
        <w:rPr>
          <w:rStyle w:val="FootnoteReference"/>
        </w:rPr>
        <w:footnoteRef/>
      </w:r>
      <w:r>
        <w:tab/>
      </w:r>
      <w:r w:rsidRPr="00076F49">
        <w:t>APA (2019) Route Options Report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77B9" w14:textId="77777777" w:rsidR="00677F7C" w:rsidRDefault="00677F7C"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CE1A" w14:textId="77777777" w:rsidR="00677F7C" w:rsidRDefault="00677F7C" w:rsidP="00F3331F">
    <w:pPr>
      <w:pStyle w:val="Header"/>
      <w:jc w:val="right"/>
    </w:pPr>
    <w:r>
      <w:rPr>
        <w:noProof/>
        <w:lang w:eastAsia="en-AU"/>
      </w:rPr>
      <w:drawing>
        <wp:inline distT="0" distB="0" distL="0" distR="0" wp14:anchorId="5096929B" wp14:editId="3B8336E0">
          <wp:extent cx="2937600" cy="529200"/>
          <wp:effectExtent l="0" t="0" r="0" b="4445"/>
          <wp:docPr id="11" name="Picture 11"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5DDE" w14:textId="2615401E" w:rsidR="00677F7C" w:rsidRPr="000D7CAF" w:rsidRDefault="00677F7C"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DE0205">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F9E8" w14:textId="04B16F87" w:rsidR="00677F7C" w:rsidRPr="000D7CAF" w:rsidRDefault="00677F7C"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252DF8"/>
    <w:multiLevelType w:val="multilevel"/>
    <w:tmpl w:val="F0B016FE"/>
    <w:lvl w:ilvl="0">
      <w:start w:val="1"/>
      <w:numFmt w:val="decimal"/>
      <w:lvlText w:val="%1"/>
      <w:lvlJc w:val="left"/>
      <w:pPr>
        <w:tabs>
          <w:tab w:val="num" w:pos="284"/>
        </w:tabs>
        <w:ind w:left="1134" w:hanging="1134"/>
      </w:pPr>
      <w:rPr>
        <w:rFonts w:asciiTheme="majorHAnsi" w:hAnsiTheme="majorHAnsi" w:hint="default"/>
        <w:color w:val="auto"/>
      </w:rPr>
    </w:lvl>
    <w:lvl w:ilvl="1">
      <w:start w:val="1"/>
      <w:numFmt w:val="decimal"/>
      <w:lvlRestart w:val="0"/>
      <w:lvlText w:val="%1.%2"/>
      <w:lvlJc w:val="left"/>
      <w:pPr>
        <w:tabs>
          <w:tab w:val="num" w:pos="1134"/>
        </w:tabs>
        <w:ind w:left="1134" w:hanging="1134"/>
      </w:pPr>
      <w:rPr>
        <w:rFonts w:asciiTheme="majorHAnsi" w:hAnsiTheme="majorHAnsi" w:hint="default"/>
        <w:color w:val="1C4483" w:themeColor="accent1"/>
      </w:rPr>
    </w:lvl>
    <w:lvl w:ilvl="2">
      <w:start w:val="1"/>
      <w:numFmt w:val="decimal"/>
      <w:lvlRestart w:val="0"/>
      <w:lvlText w:val="%1.%2.%3"/>
      <w:lvlJc w:val="left"/>
      <w:pPr>
        <w:tabs>
          <w:tab w:val="num" w:pos="1701"/>
        </w:tabs>
        <w:ind w:left="1701" w:hanging="1701"/>
      </w:pPr>
      <w:rPr>
        <w:rFonts w:asciiTheme="majorHAnsi" w:hAnsiTheme="majorHAnsi" w:hint="default"/>
        <w:color w:val="1C4483" w:themeColor="accent1"/>
      </w:rPr>
    </w:lvl>
    <w:lvl w:ilvl="3">
      <w:start w:val="1"/>
      <w:numFmt w:val="none"/>
      <w:pStyle w:val="Heading4"/>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6" w15:restartNumberingAfterBreak="0">
    <w:nsid w:val="27C90FAC"/>
    <w:multiLevelType w:val="multilevel"/>
    <w:tmpl w:val="979CBDB4"/>
    <w:lvl w:ilvl="0">
      <w:start w:val="3"/>
      <w:numFmt w:val="decimal"/>
      <w:lvlText w:val="%1"/>
      <w:lvlJc w:val="left"/>
      <w:pPr>
        <w:tabs>
          <w:tab w:val="num" w:pos="28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3"/>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7"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9"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15:restartNumberingAfterBreak="0">
    <w:nsid w:val="70733DBF"/>
    <w:multiLevelType w:val="multilevel"/>
    <w:tmpl w:val="BE3A70E8"/>
    <w:lvl w:ilvl="0">
      <w:start w:val="3"/>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2" w15:restartNumberingAfterBreak="0">
    <w:nsid w:val="75CF5E10"/>
    <w:multiLevelType w:val="multilevel"/>
    <w:tmpl w:val="AF8AAE14"/>
    <w:lvl w:ilvl="0">
      <w:start w:val="3"/>
      <w:numFmt w:val="decimal"/>
      <w:lvlText w:val="%1"/>
      <w:lvlJc w:val="left"/>
      <w:pPr>
        <w:tabs>
          <w:tab w:val="num" w:pos="28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3"/>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num w:numId="1">
    <w:abstractNumId w:val="8"/>
  </w:num>
  <w:num w:numId="2">
    <w:abstractNumId w:val="10"/>
  </w:num>
  <w:num w:numId="3">
    <w:abstractNumId w:val="12"/>
  </w:num>
  <w:num w:numId="4">
    <w:abstractNumId w:val="4"/>
  </w:num>
  <w:num w:numId="5">
    <w:abstractNumId w:val="2"/>
  </w:num>
  <w:num w:numId="6">
    <w:abstractNumId w:val="1"/>
  </w:num>
  <w:num w:numId="7">
    <w:abstractNumId w:val="0"/>
  </w:num>
  <w:num w:numId="8">
    <w:abstractNumId w:val="3"/>
  </w:num>
  <w:num w:numId="9">
    <w:abstractNumId w:val="9"/>
  </w:num>
  <w:num w:numId="10">
    <w:abstractNumId w:val="7"/>
  </w:num>
  <w:num w:numId="11">
    <w:abstractNumId w:val="12"/>
  </w:num>
  <w:num w:numId="12">
    <w:abstractNumId w:val="6"/>
  </w:num>
  <w:num w:numId="13">
    <w:abstractNumId w:val="5"/>
  </w:num>
  <w:num w:numId="14">
    <w:abstractNumId w:val="11"/>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6"/>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grammar="clean"/>
  <w:attachedTemplate r:id="rId1"/>
  <w:stylePaneSortMethod w:val="0000"/>
  <w:documentProtection w:formatting="1" w:enforcement="1"/>
  <w:defaultTabStop w:val="720"/>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FF"/>
    <w:rsid w:val="0000066F"/>
    <w:rsid w:val="000017BE"/>
    <w:rsid w:val="00002B5C"/>
    <w:rsid w:val="00003622"/>
    <w:rsid w:val="00005A37"/>
    <w:rsid w:val="00006B38"/>
    <w:rsid w:val="00007A1E"/>
    <w:rsid w:val="00011EA3"/>
    <w:rsid w:val="00013139"/>
    <w:rsid w:val="00013C24"/>
    <w:rsid w:val="00014A01"/>
    <w:rsid w:val="000152FC"/>
    <w:rsid w:val="000157D6"/>
    <w:rsid w:val="00016F19"/>
    <w:rsid w:val="00017047"/>
    <w:rsid w:val="000207CF"/>
    <w:rsid w:val="000208B9"/>
    <w:rsid w:val="00021907"/>
    <w:rsid w:val="00021CEC"/>
    <w:rsid w:val="00023787"/>
    <w:rsid w:val="00025963"/>
    <w:rsid w:val="000267FC"/>
    <w:rsid w:val="000268AA"/>
    <w:rsid w:val="00027A10"/>
    <w:rsid w:val="00027AFC"/>
    <w:rsid w:val="00030198"/>
    <w:rsid w:val="000303C6"/>
    <w:rsid w:val="0003047D"/>
    <w:rsid w:val="00035088"/>
    <w:rsid w:val="00035F40"/>
    <w:rsid w:val="00036635"/>
    <w:rsid w:val="00036C14"/>
    <w:rsid w:val="00037D07"/>
    <w:rsid w:val="0004094D"/>
    <w:rsid w:val="00041D9C"/>
    <w:rsid w:val="00044695"/>
    <w:rsid w:val="0004562B"/>
    <w:rsid w:val="00045C28"/>
    <w:rsid w:val="00046089"/>
    <w:rsid w:val="0004776D"/>
    <w:rsid w:val="00047C8A"/>
    <w:rsid w:val="00047F4F"/>
    <w:rsid w:val="00050AF0"/>
    <w:rsid w:val="00053ED4"/>
    <w:rsid w:val="00054A28"/>
    <w:rsid w:val="0005514C"/>
    <w:rsid w:val="000561B2"/>
    <w:rsid w:val="00057118"/>
    <w:rsid w:val="0006058E"/>
    <w:rsid w:val="00060706"/>
    <w:rsid w:val="000639E5"/>
    <w:rsid w:val="00063A82"/>
    <w:rsid w:val="00063EED"/>
    <w:rsid w:val="00064639"/>
    <w:rsid w:val="00064C83"/>
    <w:rsid w:val="000653C7"/>
    <w:rsid w:val="00065452"/>
    <w:rsid w:val="0006658D"/>
    <w:rsid w:val="00070A2B"/>
    <w:rsid w:val="00072CBE"/>
    <w:rsid w:val="00075157"/>
    <w:rsid w:val="0007561D"/>
    <w:rsid w:val="0007669C"/>
    <w:rsid w:val="00076F49"/>
    <w:rsid w:val="00080123"/>
    <w:rsid w:val="000801AC"/>
    <w:rsid w:val="000801B5"/>
    <w:rsid w:val="00081694"/>
    <w:rsid w:val="00081ED6"/>
    <w:rsid w:val="00082B02"/>
    <w:rsid w:val="00083077"/>
    <w:rsid w:val="00086335"/>
    <w:rsid w:val="00087408"/>
    <w:rsid w:val="00090AA3"/>
    <w:rsid w:val="00092C0D"/>
    <w:rsid w:val="00093082"/>
    <w:rsid w:val="000934F7"/>
    <w:rsid w:val="00094A2D"/>
    <w:rsid w:val="00095E7F"/>
    <w:rsid w:val="00097E52"/>
    <w:rsid w:val="000A247E"/>
    <w:rsid w:val="000A2DFD"/>
    <w:rsid w:val="000A4DFB"/>
    <w:rsid w:val="000A554C"/>
    <w:rsid w:val="000A5911"/>
    <w:rsid w:val="000A5951"/>
    <w:rsid w:val="000A5CCF"/>
    <w:rsid w:val="000A661C"/>
    <w:rsid w:val="000B585C"/>
    <w:rsid w:val="000B5B48"/>
    <w:rsid w:val="000B5B9F"/>
    <w:rsid w:val="000B5D48"/>
    <w:rsid w:val="000B6F13"/>
    <w:rsid w:val="000B7555"/>
    <w:rsid w:val="000C0031"/>
    <w:rsid w:val="000C0E68"/>
    <w:rsid w:val="000C2020"/>
    <w:rsid w:val="000C2DBD"/>
    <w:rsid w:val="000C3E7B"/>
    <w:rsid w:val="000C4409"/>
    <w:rsid w:val="000C59DE"/>
    <w:rsid w:val="000C5AB3"/>
    <w:rsid w:val="000C6688"/>
    <w:rsid w:val="000C739C"/>
    <w:rsid w:val="000C7A90"/>
    <w:rsid w:val="000D0880"/>
    <w:rsid w:val="000D16A5"/>
    <w:rsid w:val="000D255B"/>
    <w:rsid w:val="000D3A6C"/>
    <w:rsid w:val="000D4CE8"/>
    <w:rsid w:val="000D69AF"/>
    <w:rsid w:val="000D7A29"/>
    <w:rsid w:val="000D7AFD"/>
    <w:rsid w:val="000D7CAF"/>
    <w:rsid w:val="000E0829"/>
    <w:rsid w:val="000E0B71"/>
    <w:rsid w:val="000E0D55"/>
    <w:rsid w:val="000E0DC4"/>
    <w:rsid w:val="000E1DAB"/>
    <w:rsid w:val="000E1F0E"/>
    <w:rsid w:val="000E21A6"/>
    <w:rsid w:val="000E2483"/>
    <w:rsid w:val="000E38E9"/>
    <w:rsid w:val="000E4874"/>
    <w:rsid w:val="000E5D64"/>
    <w:rsid w:val="000E6AD4"/>
    <w:rsid w:val="000F060A"/>
    <w:rsid w:val="000F0A26"/>
    <w:rsid w:val="000F0CDA"/>
    <w:rsid w:val="000F2147"/>
    <w:rsid w:val="000F2552"/>
    <w:rsid w:val="000F2617"/>
    <w:rsid w:val="000F2A6C"/>
    <w:rsid w:val="000F3515"/>
    <w:rsid w:val="000F42C0"/>
    <w:rsid w:val="000F43BE"/>
    <w:rsid w:val="000F5477"/>
    <w:rsid w:val="000F56AC"/>
    <w:rsid w:val="000F6123"/>
    <w:rsid w:val="000F65AF"/>
    <w:rsid w:val="001028DC"/>
    <w:rsid w:val="00103580"/>
    <w:rsid w:val="00103A4A"/>
    <w:rsid w:val="001078E8"/>
    <w:rsid w:val="00111EAA"/>
    <w:rsid w:val="0011306C"/>
    <w:rsid w:val="001130DB"/>
    <w:rsid w:val="00114DD9"/>
    <w:rsid w:val="001152EA"/>
    <w:rsid w:val="0011570F"/>
    <w:rsid w:val="00116DDF"/>
    <w:rsid w:val="00117101"/>
    <w:rsid w:val="00117B0A"/>
    <w:rsid w:val="001200A2"/>
    <w:rsid w:val="00120813"/>
    <w:rsid w:val="00120DF1"/>
    <w:rsid w:val="00122FCC"/>
    <w:rsid w:val="00123162"/>
    <w:rsid w:val="001234E9"/>
    <w:rsid w:val="001240B9"/>
    <w:rsid w:val="00124A1C"/>
    <w:rsid w:val="0012791D"/>
    <w:rsid w:val="001320D7"/>
    <w:rsid w:val="0013218F"/>
    <w:rsid w:val="0013296E"/>
    <w:rsid w:val="001331C9"/>
    <w:rsid w:val="00135F98"/>
    <w:rsid w:val="00141296"/>
    <w:rsid w:val="00142291"/>
    <w:rsid w:val="001432E2"/>
    <w:rsid w:val="00144638"/>
    <w:rsid w:val="00144BBA"/>
    <w:rsid w:val="0014525F"/>
    <w:rsid w:val="00145593"/>
    <w:rsid w:val="00145834"/>
    <w:rsid w:val="00147220"/>
    <w:rsid w:val="001472CB"/>
    <w:rsid w:val="00147E56"/>
    <w:rsid w:val="00150107"/>
    <w:rsid w:val="00150F46"/>
    <w:rsid w:val="00153351"/>
    <w:rsid w:val="00153CF5"/>
    <w:rsid w:val="00154D7C"/>
    <w:rsid w:val="001574D4"/>
    <w:rsid w:val="00157ECB"/>
    <w:rsid w:val="001618C4"/>
    <w:rsid w:val="0016224B"/>
    <w:rsid w:val="00163CED"/>
    <w:rsid w:val="00164DF6"/>
    <w:rsid w:val="001668AB"/>
    <w:rsid w:val="00167080"/>
    <w:rsid w:val="001715FA"/>
    <w:rsid w:val="00172168"/>
    <w:rsid w:val="00172886"/>
    <w:rsid w:val="00173811"/>
    <w:rsid w:val="00174337"/>
    <w:rsid w:val="00174C76"/>
    <w:rsid w:val="00174E12"/>
    <w:rsid w:val="00175B24"/>
    <w:rsid w:val="001762BC"/>
    <w:rsid w:val="001775A3"/>
    <w:rsid w:val="00177F08"/>
    <w:rsid w:val="00181925"/>
    <w:rsid w:val="00181A7E"/>
    <w:rsid w:val="001839A1"/>
    <w:rsid w:val="0018469C"/>
    <w:rsid w:val="00186FB1"/>
    <w:rsid w:val="00190271"/>
    <w:rsid w:val="00192972"/>
    <w:rsid w:val="00192F51"/>
    <w:rsid w:val="001943A9"/>
    <w:rsid w:val="0019472B"/>
    <w:rsid w:val="0019593B"/>
    <w:rsid w:val="00196EC8"/>
    <w:rsid w:val="001976D2"/>
    <w:rsid w:val="00197EFB"/>
    <w:rsid w:val="001A181E"/>
    <w:rsid w:val="001A284A"/>
    <w:rsid w:val="001A3181"/>
    <w:rsid w:val="001A4CC3"/>
    <w:rsid w:val="001A75E1"/>
    <w:rsid w:val="001A76AF"/>
    <w:rsid w:val="001B040C"/>
    <w:rsid w:val="001B30F7"/>
    <w:rsid w:val="001B4565"/>
    <w:rsid w:val="001B4DF5"/>
    <w:rsid w:val="001B515C"/>
    <w:rsid w:val="001B7703"/>
    <w:rsid w:val="001C16FD"/>
    <w:rsid w:val="001C1A26"/>
    <w:rsid w:val="001C1E5B"/>
    <w:rsid w:val="001C31E6"/>
    <w:rsid w:val="001C45FF"/>
    <w:rsid w:val="001C5EC2"/>
    <w:rsid w:val="001C6171"/>
    <w:rsid w:val="001D15FC"/>
    <w:rsid w:val="001D25DA"/>
    <w:rsid w:val="001D3B17"/>
    <w:rsid w:val="001D3D7D"/>
    <w:rsid w:val="001D5299"/>
    <w:rsid w:val="001D5F37"/>
    <w:rsid w:val="001D6464"/>
    <w:rsid w:val="001D6DFA"/>
    <w:rsid w:val="001D6F2D"/>
    <w:rsid w:val="001E013A"/>
    <w:rsid w:val="001E11E4"/>
    <w:rsid w:val="001E128F"/>
    <w:rsid w:val="001E169B"/>
    <w:rsid w:val="001E202B"/>
    <w:rsid w:val="001E2899"/>
    <w:rsid w:val="001E2ADE"/>
    <w:rsid w:val="001E2E50"/>
    <w:rsid w:val="001E4DEF"/>
    <w:rsid w:val="001E510F"/>
    <w:rsid w:val="001E7FC7"/>
    <w:rsid w:val="001F1C5C"/>
    <w:rsid w:val="001F252A"/>
    <w:rsid w:val="001F38E8"/>
    <w:rsid w:val="001F3F88"/>
    <w:rsid w:val="001F4DC3"/>
    <w:rsid w:val="001F571B"/>
    <w:rsid w:val="001F64AB"/>
    <w:rsid w:val="001F6DF9"/>
    <w:rsid w:val="001F7371"/>
    <w:rsid w:val="001F76EB"/>
    <w:rsid w:val="00201D46"/>
    <w:rsid w:val="002021BF"/>
    <w:rsid w:val="002021C6"/>
    <w:rsid w:val="00204A6F"/>
    <w:rsid w:val="00204EE2"/>
    <w:rsid w:val="00207206"/>
    <w:rsid w:val="0020772C"/>
    <w:rsid w:val="00207FB7"/>
    <w:rsid w:val="00212BA8"/>
    <w:rsid w:val="00213233"/>
    <w:rsid w:val="00213EDF"/>
    <w:rsid w:val="00217987"/>
    <w:rsid w:val="00220CDD"/>
    <w:rsid w:val="00222DEB"/>
    <w:rsid w:val="00224E65"/>
    <w:rsid w:val="00225140"/>
    <w:rsid w:val="0022719F"/>
    <w:rsid w:val="0023045C"/>
    <w:rsid w:val="00230CF8"/>
    <w:rsid w:val="00231721"/>
    <w:rsid w:val="0023206F"/>
    <w:rsid w:val="00232221"/>
    <w:rsid w:val="002331E5"/>
    <w:rsid w:val="00235DEF"/>
    <w:rsid w:val="00236DE0"/>
    <w:rsid w:val="00236E8C"/>
    <w:rsid w:val="00237A77"/>
    <w:rsid w:val="0024199C"/>
    <w:rsid w:val="00242509"/>
    <w:rsid w:val="0024419D"/>
    <w:rsid w:val="0024669A"/>
    <w:rsid w:val="00247065"/>
    <w:rsid w:val="002500AE"/>
    <w:rsid w:val="0025023D"/>
    <w:rsid w:val="00253B4A"/>
    <w:rsid w:val="0025542C"/>
    <w:rsid w:val="002561AD"/>
    <w:rsid w:val="0025787E"/>
    <w:rsid w:val="002609FD"/>
    <w:rsid w:val="00261F88"/>
    <w:rsid w:val="00264C70"/>
    <w:rsid w:val="00265073"/>
    <w:rsid w:val="00267445"/>
    <w:rsid w:val="0026757E"/>
    <w:rsid w:val="0027245C"/>
    <w:rsid w:val="00277ABE"/>
    <w:rsid w:val="00277AF5"/>
    <w:rsid w:val="00280599"/>
    <w:rsid w:val="002811F9"/>
    <w:rsid w:val="00281BBF"/>
    <w:rsid w:val="00282B57"/>
    <w:rsid w:val="002838CE"/>
    <w:rsid w:val="00283B87"/>
    <w:rsid w:val="00284CB3"/>
    <w:rsid w:val="002867A7"/>
    <w:rsid w:val="00290210"/>
    <w:rsid w:val="00292D2A"/>
    <w:rsid w:val="00292FEF"/>
    <w:rsid w:val="0029345C"/>
    <w:rsid w:val="00294420"/>
    <w:rsid w:val="00294914"/>
    <w:rsid w:val="00294B64"/>
    <w:rsid w:val="00295CCD"/>
    <w:rsid w:val="0029614E"/>
    <w:rsid w:val="002A007D"/>
    <w:rsid w:val="002A05B1"/>
    <w:rsid w:val="002A0AA3"/>
    <w:rsid w:val="002A4AF1"/>
    <w:rsid w:val="002A4DD3"/>
    <w:rsid w:val="002A6F1A"/>
    <w:rsid w:val="002B282F"/>
    <w:rsid w:val="002B488F"/>
    <w:rsid w:val="002B4B77"/>
    <w:rsid w:val="002B5C6E"/>
    <w:rsid w:val="002B65E9"/>
    <w:rsid w:val="002B6EF0"/>
    <w:rsid w:val="002C1713"/>
    <w:rsid w:val="002C1CE6"/>
    <w:rsid w:val="002C2990"/>
    <w:rsid w:val="002C555F"/>
    <w:rsid w:val="002C57BC"/>
    <w:rsid w:val="002C61D9"/>
    <w:rsid w:val="002D1CB1"/>
    <w:rsid w:val="002D2130"/>
    <w:rsid w:val="002D22B9"/>
    <w:rsid w:val="002D310F"/>
    <w:rsid w:val="002D3A61"/>
    <w:rsid w:val="002D6BA2"/>
    <w:rsid w:val="002E0392"/>
    <w:rsid w:val="002E0987"/>
    <w:rsid w:val="002E1ABF"/>
    <w:rsid w:val="002E2BC7"/>
    <w:rsid w:val="002E3267"/>
    <w:rsid w:val="002E3E20"/>
    <w:rsid w:val="002E4C32"/>
    <w:rsid w:val="002E6F57"/>
    <w:rsid w:val="002F098F"/>
    <w:rsid w:val="002F12AE"/>
    <w:rsid w:val="002F160A"/>
    <w:rsid w:val="002F1FFE"/>
    <w:rsid w:val="002F2808"/>
    <w:rsid w:val="002F30E8"/>
    <w:rsid w:val="002F4504"/>
    <w:rsid w:val="002F4826"/>
    <w:rsid w:val="002F4B79"/>
    <w:rsid w:val="002F5564"/>
    <w:rsid w:val="002F7BF5"/>
    <w:rsid w:val="00302352"/>
    <w:rsid w:val="00302B94"/>
    <w:rsid w:val="00302F49"/>
    <w:rsid w:val="00304315"/>
    <w:rsid w:val="00304ADE"/>
    <w:rsid w:val="00305B07"/>
    <w:rsid w:val="003074EB"/>
    <w:rsid w:val="003103FD"/>
    <w:rsid w:val="003108F5"/>
    <w:rsid w:val="003109B3"/>
    <w:rsid w:val="00312040"/>
    <w:rsid w:val="0031364F"/>
    <w:rsid w:val="00313C80"/>
    <w:rsid w:val="00313F10"/>
    <w:rsid w:val="003154EE"/>
    <w:rsid w:val="00315FBA"/>
    <w:rsid w:val="00320991"/>
    <w:rsid w:val="00320D25"/>
    <w:rsid w:val="00321B47"/>
    <w:rsid w:val="00322BFF"/>
    <w:rsid w:val="003231A4"/>
    <w:rsid w:val="00323E9D"/>
    <w:rsid w:val="0032592C"/>
    <w:rsid w:val="00327AC6"/>
    <w:rsid w:val="00333151"/>
    <w:rsid w:val="0033435B"/>
    <w:rsid w:val="00334677"/>
    <w:rsid w:val="00335809"/>
    <w:rsid w:val="003365C1"/>
    <w:rsid w:val="00337199"/>
    <w:rsid w:val="0033751A"/>
    <w:rsid w:val="00340442"/>
    <w:rsid w:val="00340835"/>
    <w:rsid w:val="00341E0F"/>
    <w:rsid w:val="00344BFD"/>
    <w:rsid w:val="003452FF"/>
    <w:rsid w:val="00345BB4"/>
    <w:rsid w:val="00345C12"/>
    <w:rsid w:val="003461B7"/>
    <w:rsid w:val="003476C0"/>
    <w:rsid w:val="003504E7"/>
    <w:rsid w:val="003524A6"/>
    <w:rsid w:val="00352770"/>
    <w:rsid w:val="00352AA4"/>
    <w:rsid w:val="00353AB2"/>
    <w:rsid w:val="00353BBB"/>
    <w:rsid w:val="003547C0"/>
    <w:rsid w:val="00355BCD"/>
    <w:rsid w:val="00355C68"/>
    <w:rsid w:val="00355FA4"/>
    <w:rsid w:val="003565B0"/>
    <w:rsid w:val="00356F63"/>
    <w:rsid w:val="003602D7"/>
    <w:rsid w:val="0036083B"/>
    <w:rsid w:val="00360B53"/>
    <w:rsid w:val="00361C1E"/>
    <w:rsid w:val="003634E5"/>
    <w:rsid w:val="00363930"/>
    <w:rsid w:val="0036430F"/>
    <w:rsid w:val="0036594D"/>
    <w:rsid w:val="0036633D"/>
    <w:rsid w:val="00367B9F"/>
    <w:rsid w:val="00370C55"/>
    <w:rsid w:val="003727C6"/>
    <w:rsid w:val="003759DA"/>
    <w:rsid w:val="00376061"/>
    <w:rsid w:val="0037677C"/>
    <w:rsid w:val="0037768B"/>
    <w:rsid w:val="00377F14"/>
    <w:rsid w:val="0038031B"/>
    <w:rsid w:val="00380F3F"/>
    <w:rsid w:val="00382C45"/>
    <w:rsid w:val="00383BEB"/>
    <w:rsid w:val="00384A2D"/>
    <w:rsid w:val="00390A09"/>
    <w:rsid w:val="00390E2D"/>
    <w:rsid w:val="00391F4C"/>
    <w:rsid w:val="00393047"/>
    <w:rsid w:val="00393534"/>
    <w:rsid w:val="00393540"/>
    <w:rsid w:val="0039754E"/>
    <w:rsid w:val="003975FE"/>
    <w:rsid w:val="003A000C"/>
    <w:rsid w:val="003A004E"/>
    <w:rsid w:val="003A214F"/>
    <w:rsid w:val="003A3039"/>
    <w:rsid w:val="003A3A68"/>
    <w:rsid w:val="003A4B1E"/>
    <w:rsid w:val="003A5B3B"/>
    <w:rsid w:val="003B1121"/>
    <w:rsid w:val="003B21EE"/>
    <w:rsid w:val="003B2660"/>
    <w:rsid w:val="003B34B4"/>
    <w:rsid w:val="003B6648"/>
    <w:rsid w:val="003C1A84"/>
    <w:rsid w:val="003C209D"/>
    <w:rsid w:val="003C2485"/>
    <w:rsid w:val="003C299F"/>
    <w:rsid w:val="003C5558"/>
    <w:rsid w:val="003C69CA"/>
    <w:rsid w:val="003C74B1"/>
    <w:rsid w:val="003C7558"/>
    <w:rsid w:val="003D10B7"/>
    <w:rsid w:val="003D266F"/>
    <w:rsid w:val="003D303F"/>
    <w:rsid w:val="003D5163"/>
    <w:rsid w:val="003D58A0"/>
    <w:rsid w:val="003D71C8"/>
    <w:rsid w:val="003D7CD5"/>
    <w:rsid w:val="003D7E5A"/>
    <w:rsid w:val="003D7F9A"/>
    <w:rsid w:val="003E1380"/>
    <w:rsid w:val="003E15AE"/>
    <w:rsid w:val="003E1CBD"/>
    <w:rsid w:val="003E25E8"/>
    <w:rsid w:val="003E6485"/>
    <w:rsid w:val="003E69E9"/>
    <w:rsid w:val="003E704C"/>
    <w:rsid w:val="003E712B"/>
    <w:rsid w:val="003F1650"/>
    <w:rsid w:val="003F1CA7"/>
    <w:rsid w:val="003F420F"/>
    <w:rsid w:val="003F47AB"/>
    <w:rsid w:val="003F65B8"/>
    <w:rsid w:val="003F6A1C"/>
    <w:rsid w:val="003F7285"/>
    <w:rsid w:val="003F7E5E"/>
    <w:rsid w:val="00401260"/>
    <w:rsid w:val="00402D0A"/>
    <w:rsid w:val="00402D84"/>
    <w:rsid w:val="0040469E"/>
    <w:rsid w:val="00405331"/>
    <w:rsid w:val="00406CA3"/>
    <w:rsid w:val="00406CDC"/>
    <w:rsid w:val="00414260"/>
    <w:rsid w:val="004152F1"/>
    <w:rsid w:val="00417252"/>
    <w:rsid w:val="00417616"/>
    <w:rsid w:val="0042028C"/>
    <w:rsid w:val="0042310B"/>
    <w:rsid w:val="004240E1"/>
    <w:rsid w:val="004242AE"/>
    <w:rsid w:val="00424A7C"/>
    <w:rsid w:val="004257FC"/>
    <w:rsid w:val="0042648F"/>
    <w:rsid w:val="00426DFE"/>
    <w:rsid w:val="00427F00"/>
    <w:rsid w:val="00430A7F"/>
    <w:rsid w:val="00432957"/>
    <w:rsid w:val="00433FA0"/>
    <w:rsid w:val="00435547"/>
    <w:rsid w:val="004429B9"/>
    <w:rsid w:val="00443EA8"/>
    <w:rsid w:val="004446EC"/>
    <w:rsid w:val="00444EF7"/>
    <w:rsid w:val="00445489"/>
    <w:rsid w:val="004466F3"/>
    <w:rsid w:val="00446849"/>
    <w:rsid w:val="00446F27"/>
    <w:rsid w:val="00446F35"/>
    <w:rsid w:val="0044779F"/>
    <w:rsid w:val="00452575"/>
    <w:rsid w:val="00453077"/>
    <w:rsid w:val="00453AA2"/>
    <w:rsid w:val="00455F4F"/>
    <w:rsid w:val="00456204"/>
    <w:rsid w:val="00456B24"/>
    <w:rsid w:val="00457498"/>
    <w:rsid w:val="00457CD2"/>
    <w:rsid w:val="00462270"/>
    <w:rsid w:val="00463E1E"/>
    <w:rsid w:val="00464C87"/>
    <w:rsid w:val="004655E6"/>
    <w:rsid w:val="0046681A"/>
    <w:rsid w:val="00467474"/>
    <w:rsid w:val="004700A2"/>
    <w:rsid w:val="004733D1"/>
    <w:rsid w:val="0047403B"/>
    <w:rsid w:val="00477850"/>
    <w:rsid w:val="00477E3F"/>
    <w:rsid w:val="00481105"/>
    <w:rsid w:val="00481831"/>
    <w:rsid w:val="00481FDD"/>
    <w:rsid w:val="00482F24"/>
    <w:rsid w:val="00483363"/>
    <w:rsid w:val="004837F4"/>
    <w:rsid w:val="00483C20"/>
    <w:rsid w:val="00485503"/>
    <w:rsid w:val="0048580D"/>
    <w:rsid w:val="00485C9D"/>
    <w:rsid w:val="00486F0E"/>
    <w:rsid w:val="00487846"/>
    <w:rsid w:val="00495B17"/>
    <w:rsid w:val="00497842"/>
    <w:rsid w:val="004A0138"/>
    <w:rsid w:val="004A1537"/>
    <w:rsid w:val="004A1755"/>
    <w:rsid w:val="004A192F"/>
    <w:rsid w:val="004A1A93"/>
    <w:rsid w:val="004A25A9"/>
    <w:rsid w:val="004A31C6"/>
    <w:rsid w:val="004A32BF"/>
    <w:rsid w:val="004A37B0"/>
    <w:rsid w:val="004A3F40"/>
    <w:rsid w:val="004A499F"/>
    <w:rsid w:val="004A4B5C"/>
    <w:rsid w:val="004A505C"/>
    <w:rsid w:val="004A55F8"/>
    <w:rsid w:val="004A71F6"/>
    <w:rsid w:val="004A7656"/>
    <w:rsid w:val="004A7EF9"/>
    <w:rsid w:val="004B02C2"/>
    <w:rsid w:val="004B4494"/>
    <w:rsid w:val="004B4595"/>
    <w:rsid w:val="004B5969"/>
    <w:rsid w:val="004B5DFF"/>
    <w:rsid w:val="004B6535"/>
    <w:rsid w:val="004B6B78"/>
    <w:rsid w:val="004C02F1"/>
    <w:rsid w:val="004C1CD1"/>
    <w:rsid w:val="004C3157"/>
    <w:rsid w:val="004C34DF"/>
    <w:rsid w:val="004C3C0E"/>
    <w:rsid w:val="004C5028"/>
    <w:rsid w:val="004C6EBF"/>
    <w:rsid w:val="004C72D8"/>
    <w:rsid w:val="004C7931"/>
    <w:rsid w:val="004D178C"/>
    <w:rsid w:val="004D49E7"/>
    <w:rsid w:val="004D5078"/>
    <w:rsid w:val="004D51DA"/>
    <w:rsid w:val="004D56AE"/>
    <w:rsid w:val="004D5DF5"/>
    <w:rsid w:val="004D6CAE"/>
    <w:rsid w:val="004D7600"/>
    <w:rsid w:val="004D7679"/>
    <w:rsid w:val="004E08E8"/>
    <w:rsid w:val="004E0940"/>
    <w:rsid w:val="004E14A4"/>
    <w:rsid w:val="004E3A1F"/>
    <w:rsid w:val="004E5256"/>
    <w:rsid w:val="004E593B"/>
    <w:rsid w:val="004E774D"/>
    <w:rsid w:val="004F4EF2"/>
    <w:rsid w:val="004F613F"/>
    <w:rsid w:val="004F6FF0"/>
    <w:rsid w:val="004F74E1"/>
    <w:rsid w:val="004F752A"/>
    <w:rsid w:val="004F7D42"/>
    <w:rsid w:val="004F7E8C"/>
    <w:rsid w:val="005008FB"/>
    <w:rsid w:val="00501136"/>
    <w:rsid w:val="00501622"/>
    <w:rsid w:val="005023BD"/>
    <w:rsid w:val="0050426E"/>
    <w:rsid w:val="0050448D"/>
    <w:rsid w:val="00504BC3"/>
    <w:rsid w:val="00505DE8"/>
    <w:rsid w:val="0050608F"/>
    <w:rsid w:val="00506AF3"/>
    <w:rsid w:val="00507661"/>
    <w:rsid w:val="0051058D"/>
    <w:rsid w:val="00512E76"/>
    <w:rsid w:val="00514AD3"/>
    <w:rsid w:val="00514F08"/>
    <w:rsid w:val="005151D9"/>
    <w:rsid w:val="0051542F"/>
    <w:rsid w:val="00517673"/>
    <w:rsid w:val="005210AD"/>
    <w:rsid w:val="005213E5"/>
    <w:rsid w:val="00521453"/>
    <w:rsid w:val="005217F5"/>
    <w:rsid w:val="00522A16"/>
    <w:rsid w:val="00523E7A"/>
    <w:rsid w:val="005248A1"/>
    <w:rsid w:val="00525346"/>
    <w:rsid w:val="00525E55"/>
    <w:rsid w:val="00526B45"/>
    <w:rsid w:val="00526CCC"/>
    <w:rsid w:val="00530CE8"/>
    <w:rsid w:val="00533A6E"/>
    <w:rsid w:val="00534742"/>
    <w:rsid w:val="0053740A"/>
    <w:rsid w:val="00540437"/>
    <w:rsid w:val="00541105"/>
    <w:rsid w:val="00541673"/>
    <w:rsid w:val="00541C86"/>
    <w:rsid w:val="00541CA7"/>
    <w:rsid w:val="005437A0"/>
    <w:rsid w:val="005445C3"/>
    <w:rsid w:val="005452CC"/>
    <w:rsid w:val="0054639F"/>
    <w:rsid w:val="005469E6"/>
    <w:rsid w:val="00546B28"/>
    <w:rsid w:val="00546C0D"/>
    <w:rsid w:val="005479BA"/>
    <w:rsid w:val="005502DF"/>
    <w:rsid w:val="00550593"/>
    <w:rsid w:val="0055118E"/>
    <w:rsid w:val="005518AC"/>
    <w:rsid w:val="00553022"/>
    <w:rsid w:val="00556655"/>
    <w:rsid w:val="00560C70"/>
    <w:rsid w:val="0056128E"/>
    <w:rsid w:val="00561EE9"/>
    <w:rsid w:val="00562578"/>
    <w:rsid w:val="00563D40"/>
    <w:rsid w:val="00564ED5"/>
    <w:rsid w:val="005667A7"/>
    <w:rsid w:val="00566DA3"/>
    <w:rsid w:val="00571E1B"/>
    <w:rsid w:val="005726F5"/>
    <w:rsid w:val="00574769"/>
    <w:rsid w:val="005769EB"/>
    <w:rsid w:val="00577E17"/>
    <w:rsid w:val="005804B5"/>
    <w:rsid w:val="005805F8"/>
    <w:rsid w:val="005816A0"/>
    <w:rsid w:val="0058235E"/>
    <w:rsid w:val="00582595"/>
    <w:rsid w:val="00582882"/>
    <w:rsid w:val="005833FC"/>
    <w:rsid w:val="0058367C"/>
    <w:rsid w:val="00584114"/>
    <w:rsid w:val="005852CD"/>
    <w:rsid w:val="0058559E"/>
    <w:rsid w:val="0059004B"/>
    <w:rsid w:val="00591C81"/>
    <w:rsid w:val="00593B97"/>
    <w:rsid w:val="0059442A"/>
    <w:rsid w:val="00594EA1"/>
    <w:rsid w:val="0059670F"/>
    <w:rsid w:val="0059789D"/>
    <w:rsid w:val="00597F60"/>
    <w:rsid w:val="005A14CE"/>
    <w:rsid w:val="005A1F81"/>
    <w:rsid w:val="005A252A"/>
    <w:rsid w:val="005A3E8C"/>
    <w:rsid w:val="005A4ABD"/>
    <w:rsid w:val="005A4F3A"/>
    <w:rsid w:val="005A52E2"/>
    <w:rsid w:val="005A70AD"/>
    <w:rsid w:val="005B0F2A"/>
    <w:rsid w:val="005B1AB0"/>
    <w:rsid w:val="005B1F1D"/>
    <w:rsid w:val="005B3B0D"/>
    <w:rsid w:val="005B4661"/>
    <w:rsid w:val="005B4698"/>
    <w:rsid w:val="005B4A00"/>
    <w:rsid w:val="005C0108"/>
    <w:rsid w:val="005C0ABF"/>
    <w:rsid w:val="005C2F2C"/>
    <w:rsid w:val="005C3AB9"/>
    <w:rsid w:val="005C40D6"/>
    <w:rsid w:val="005C44B4"/>
    <w:rsid w:val="005C50AF"/>
    <w:rsid w:val="005C65BD"/>
    <w:rsid w:val="005D0C80"/>
    <w:rsid w:val="005D0F2D"/>
    <w:rsid w:val="005D1374"/>
    <w:rsid w:val="005D1392"/>
    <w:rsid w:val="005D168C"/>
    <w:rsid w:val="005D4B62"/>
    <w:rsid w:val="005D57B1"/>
    <w:rsid w:val="005D6F64"/>
    <w:rsid w:val="005E1010"/>
    <w:rsid w:val="005E1BB5"/>
    <w:rsid w:val="005E3F1B"/>
    <w:rsid w:val="005E4091"/>
    <w:rsid w:val="005E41FD"/>
    <w:rsid w:val="005E4B51"/>
    <w:rsid w:val="005E500F"/>
    <w:rsid w:val="005F0552"/>
    <w:rsid w:val="005F06E7"/>
    <w:rsid w:val="005F21D1"/>
    <w:rsid w:val="005F3AA4"/>
    <w:rsid w:val="005F4F6C"/>
    <w:rsid w:val="005F5C64"/>
    <w:rsid w:val="005F6D25"/>
    <w:rsid w:val="0060166E"/>
    <w:rsid w:val="00602630"/>
    <w:rsid w:val="006026A2"/>
    <w:rsid w:val="00602D49"/>
    <w:rsid w:val="00602DAF"/>
    <w:rsid w:val="006032EB"/>
    <w:rsid w:val="00603A97"/>
    <w:rsid w:val="00603AC6"/>
    <w:rsid w:val="006041BF"/>
    <w:rsid w:val="0060421B"/>
    <w:rsid w:val="00606B19"/>
    <w:rsid w:val="0060794A"/>
    <w:rsid w:val="006110CD"/>
    <w:rsid w:val="00611CDB"/>
    <w:rsid w:val="00612E89"/>
    <w:rsid w:val="00615C9A"/>
    <w:rsid w:val="006162DA"/>
    <w:rsid w:val="00616446"/>
    <w:rsid w:val="006165E2"/>
    <w:rsid w:val="006174CB"/>
    <w:rsid w:val="00617D69"/>
    <w:rsid w:val="00620023"/>
    <w:rsid w:val="00620A64"/>
    <w:rsid w:val="00620D41"/>
    <w:rsid w:val="006223D4"/>
    <w:rsid w:val="00622B87"/>
    <w:rsid w:val="006234D0"/>
    <w:rsid w:val="00623BED"/>
    <w:rsid w:val="0062480D"/>
    <w:rsid w:val="00626CC7"/>
    <w:rsid w:val="00626F6A"/>
    <w:rsid w:val="006274A2"/>
    <w:rsid w:val="0063209E"/>
    <w:rsid w:val="00632948"/>
    <w:rsid w:val="00634A6C"/>
    <w:rsid w:val="00635CCF"/>
    <w:rsid w:val="006406FD"/>
    <w:rsid w:val="00641308"/>
    <w:rsid w:val="0064197D"/>
    <w:rsid w:val="00644D15"/>
    <w:rsid w:val="00646BE7"/>
    <w:rsid w:val="00646ECA"/>
    <w:rsid w:val="00647CBE"/>
    <w:rsid w:val="00647FA1"/>
    <w:rsid w:val="006502B4"/>
    <w:rsid w:val="006515EA"/>
    <w:rsid w:val="006524A6"/>
    <w:rsid w:val="006532CE"/>
    <w:rsid w:val="00653D67"/>
    <w:rsid w:val="00654102"/>
    <w:rsid w:val="00654459"/>
    <w:rsid w:val="006545B0"/>
    <w:rsid w:val="00655CD5"/>
    <w:rsid w:val="0065700B"/>
    <w:rsid w:val="006607AB"/>
    <w:rsid w:val="006631EA"/>
    <w:rsid w:val="00663DFD"/>
    <w:rsid w:val="00663F1B"/>
    <w:rsid w:val="0066494C"/>
    <w:rsid w:val="00664BB6"/>
    <w:rsid w:val="00665069"/>
    <w:rsid w:val="00665386"/>
    <w:rsid w:val="00665626"/>
    <w:rsid w:val="00665D38"/>
    <w:rsid w:val="0066659B"/>
    <w:rsid w:val="00667E68"/>
    <w:rsid w:val="006706F1"/>
    <w:rsid w:val="00671047"/>
    <w:rsid w:val="0067178E"/>
    <w:rsid w:val="006739E1"/>
    <w:rsid w:val="006765F2"/>
    <w:rsid w:val="00676B74"/>
    <w:rsid w:val="00676DB8"/>
    <w:rsid w:val="00677DB3"/>
    <w:rsid w:val="00677F7C"/>
    <w:rsid w:val="00681821"/>
    <w:rsid w:val="00682232"/>
    <w:rsid w:val="00682508"/>
    <w:rsid w:val="0068311F"/>
    <w:rsid w:val="00683B47"/>
    <w:rsid w:val="00683C3E"/>
    <w:rsid w:val="00685655"/>
    <w:rsid w:val="006873EF"/>
    <w:rsid w:val="0069118A"/>
    <w:rsid w:val="00691E3B"/>
    <w:rsid w:val="006920C8"/>
    <w:rsid w:val="006939C7"/>
    <w:rsid w:val="006951C7"/>
    <w:rsid w:val="006953AF"/>
    <w:rsid w:val="006975BB"/>
    <w:rsid w:val="006A000F"/>
    <w:rsid w:val="006A041C"/>
    <w:rsid w:val="006A39BE"/>
    <w:rsid w:val="006A55C0"/>
    <w:rsid w:val="006A5772"/>
    <w:rsid w:val="006A5BC5"/>
    <w:rsid w:val="006A616C"/>
    <w:rsid w:val="006A76CA"/>
    <w:rsid w:val="006B113C"/>
    <w:rsid w:val="006B27CC"/>
    <w:rsid w:val="006B310A"/>
    <w:rsid w:val="006B3813"/>
    <w:rsid w:val="006B45A6"/>
    <w:rsid w:val="006B475B"/>
    <w:rsid w:val="006B4EBB"/>
    <w:rsid w:val="006B5506"/>
    <w:rsid w:val="006B5C72"/>
    <w:rsid w:val="006B6E46"/>
    <w:rsid w:val="006C0F69"/>
    <w:rsid w:val="006C3C2E"/>
    <w:rsid w:val="006C6A18"/>
    <w:rsid w:val="006C6A97"/>
    <w:rsid w:val="006D1070"/>
    <w:rsid w:val="006D1AD8"/>
    <w:rsid w:val="006D28B3"/>
    <w:rsid w:val="006D2A06"/>
    <w:rsid w:val="006D4677"/>
    <w:rsid w:val="006D4E71"/>
    <w:rsid w:val="006D6908"/>
    <w:rsid w:val="006D745A"/>
    <w:rsid w:val="006D748F"/>
    <w:rsid w:val="006D77E4"/>
    <w:rsid w:val="006E04A4"/>
    <w:rsid w:val="006E1AA6"/>
    <w:rsid w:val="006E2B12"/>
    <w:rsid w:val="006E3512"/>
    <w:rsid w:val="006E44E9"/>
    <w:rsid w:val="006E6508"/>
    <w:rsid w:val="006E6FF6"/>
    <w:rsid w:val="006E7C63"/>
    <w:rsid w:val="006F3C08"/>
    <w:rsid w:val="006F3FD8"/>
    <w:rsid w:val="006F609D"/>
    <w:rsid w:val="006F7967"/>
    <w:rsid w:val="00702EE7"/>
    <w:rsid w:val="00702F7E"/>
    <w:rsid w:val="0070496E"/>
    <w:rsid w:val="00704C57"/>
    <w:rsid w:val="00705B86"/>
    <w:rsid w:val="00711873"/>
    <w:rsid w:val="00711895"/>
    <w:rsid w:val="007152F9"/>
    <w:rsid w:val="00715BAA"/>
    <w:rsid w:val="007210C3"/>
    <w:rsid w:val="0072195F"/>
    <w:rsid w:val="00721A8F"/>
    <w:rsid w:val="007234F3"/>
    <w:rsid w:val="00723795"/>
    <w:rsid w:val="007237CD"/>
    <w:rsid w:val="00725095"/>
    <w:rsid w:val="00725229"/>
    <w:rsid w:val="007253FE"/>
    <w:rsid w:val="00725997"/>
    <w:rsid w:val="00726B3A"/>
    <w:rsid w:val="00727ABB"/>
    <w:rsid w:val="007310BC"/>
    <w:rsid w:val="00731B50"/>
    <w:rsid w:val="007337C3"/>
    <w:rsid w:val="0073536E"/>
    <w:rsid w:val="007355DF"/>
    <w:rsid w:val="00737B99"/>
    <w:rsid w:val="00737CD5"/>
    <w:rsid w:val="0074088B"/>
    <w:rsid w:val="00741815"/>
    <w:rsid w:val="00741C47"/>
    <w:rsid w:val="00742CD1"/>
    <w:rsid w:val="00743499"/>
    <w:rsid w:val="00743987"/>
    <w:rsid w:val="00745BB3"/>
    <w:rsid w:val="00746949"/>
    <w:rsid w:val="00750425"/>
    <w:rsid w:val="00751050"/>
    <w:rsid w:val="0075205E"/>
    <w:rsid w:val="00756100"/>
    <w:rsid w:val="00756AC8"/>
    <w:rsid w:val="00757A55"/>
    <w:rsid w:val="00757D65"/>
    <w:rsid w:val="007606DC"/>
    <w:rsid w:val="007608D2"/>
    <w:rsid w:val="00761A4B"/>
    <w:rsid w:val="00762276"/>
    <w:rsid w:val="00763281"/>
    <w:rsid w:val="00763BE2"/>
    <w:rsid w:val="0076637A"/>
    <w:rsid w:val="00766DD9"/>
    <w:rsid w:val="007677E3"/>
    <w:rsid w:val="00767839"/>
    <w:rsid w:val="00767C1E"/>
    <w:rsid w:val="007704B8"/>
    <w:rsid w:val="007705BA"/>
    <w:rsid w:val="00770981"/>
    <w:rsid w:val="00771FF4"/>
    <w:rsid w:val="00773BAC"/>
    <w:rsid w:val="0077678A"/>
    <w:rsid w:val="007767A6"/>
    <w:rsid w:val="00776CEC"/>
    <w:rsid w:val="007770AA"/>
    <w:rsid w:val="00780259"/>
    <w:rsid w:val="00780E00"/>
    <w:rsid w:val="007830DB"/>
    <w:rsid w:val="007838AF"/>
    <w:rsid w:val="007843B9"/>
    <w:rsid w:val="00784F38"/>
    <w:rsid w:val="0079057C"/>
    <w:rsid w:val="007913F5"/>
    <w:rsid w:val="007919A5"/>
    <w:rsid w:val="007931FE"/>
    <w:rsid w:val="007935CB"/>
    <w:rsid w:val="00793760"/>
    <w:rsid w:val="00793886"/>
    <w:rsid w:val="00793BE0"/>
    <w:rsid w:val="00796C56"/>
    <w:rsid w:val="007A0505"/>
    <w:rsid w:val="007A187E"/>
    <w:rsid w:val="007A2983"/>
    <w:rsid w:val="007A4768"/>
    <w:rsid w:val="007A4B3B"/>
    <w:rsid w:val="007A63FE"/>
    <w:rsid w:val="007A6909"/>
    <w:rsid w:val="007A708E"/>
    <w:rsid w:val="007B1248"/>
    <w:rsid w:val="007B127D"/>
    <w:rsid w:val="007B1B33"/>
    <w:rsid w:val="007B1C66"/>
    <w:rsid w:val="007B2FD1"/>
    <w:rsid w:val="007B35DB"/>
    <w:rsid w:val="007B3BDE"/>
    <w:rsid w:val="007B40F8"/>
    <w:rsid w:val="007B5DF2"/>
    <w:rsid w:val="007B76AD"/>
    <w:rsid w:val="007C1C7D"/>
    <w:rsid w:val="007C1E29"/>
    <w:rsid w:val="007C20B1"/>
    <w:rsid w:val="007C45F9"/>
    <w:rsid w:val="007C46B0"/>
    <w:rsid w:val="007C4D71"/>
    <w:rsid w:val="007C6764"/>
    <w:rsid w:val="007D167B"/>
    <w:rsid w:val="007E1503"/>
    <w:rsid w:val="007E1530"/>
    <w:rsid w:val="007E157D"/>
    <w:rsid w:val="007E1B02"/>
    <w:rsid w:val="007E2DF2"/>
    <w:rsid w:val="007E312F"/>
    <w:rsid w:val="007E343E"/>
    <w:rsid w:val="007E4F92"/>
    <w:rsid w:val="007E6CAC"/>
    <w:rsid w:val="007E7440"/>
    <w:rsid w:val="007F008C"/>
    <w:rsid w:val="007F08E4"/>
    <w:rsid w:val="007F13D0"/>
    <w:rsid w:val="007F14D6"/>
    <w:rsid w:val="007F2668"/>
    <w:rsid w:val="007F5380"/>
    <w:rsid w:val="007F7872"/>
    <w:rsid w:val="00800505"/>
    <w:rsid w:val="0080058C"/>
    <w:rsid w:val="00801F81"/>
    <w:rsid w:val="008034EA"/>
    <w:rsid w:val="00804DC5"/>
    <w:rsid w:val="00805068"/>
    <w:rsid w:val="00805A32"/>
    <w:rsid w:val="008067F1"/>
    <w:rsid w:val="00806F35"/>
    <w:rsid w:val="00807365"/>
    <w:rsid w:val="0081374A"/>
    <w:rsid w:val="00814AF3"/>
    <w:rsid w:val="008150C4"/>
    <w:rsid w:val="00815685"/>
    <w:rsid w:val="00815F41"/>
    <w:rsid w:val="00815FCD"/>
    <w:rsid w:val="008170C3"/>
    <w:rsid w:val="00817212"/>
    <w:rsid w:val="0081742E"/>
    <w:rsid w:val="008205F9"/>
    <w:rsid w:val="008206F9"/>
    <w:rsid w:val="008207E8"/>
    <w:rsid w:val="00820D5C"/>
    <w:rsid w:val="008213EB"/>
    <w:rsid w:val="00821F0A"/>
    <w:rsid w:val="00822D71"/>
    <w:rsid w:val="008236E9"/>
    <w:rsid w:val="00824E4B"/>
    <w:rsid w:val="00825B8D"/>
    <w:rsid w:val="00826582"/>
    <w:rsid w:val="008277B6"/>
    <w:rsid w:val="008279BC"/>
    <w:rsid w:val="00830076"/>
    <w:rsid w:val="008300D1"/>
    <w:rsid w:val="00833E91"/>
    <w:rsid w:val="008341B4"/>
    <w:rsid w:val="00834447"/>
    <w:rsid w:val="00835370"/>
    <w:rsid w:val="0083670B"/>
    <w:rsid w:val="008368CC"/>
    <w:rsid w:val="00836EA3"/>
    <w:rsid w:val="00837B57"/>
    <w:rsid w:val="00840FC3"/>
    <w:rsid w:val="0084174D"/>
    <w:rsid w:val="00841B6D"/>
    <w:rsid w:val="0084205A"/>
    <w:rsid w:val="0084307D"/>
    <w:rsid w:val="00845449"/>
    <w:rsid w:val="00845E49"/>
    <w:rsid w:val="00846149"/>
    <w:rsid w:val="0084698F"/>
    <w:rsid w:val="00851BB7"/>
    <w:rsid w:val="0085261C"/>
    <w:rsid w:val="00853623"/>
    <w:rsid w:val="00853679"/>
    <w:rsid w:val="00853807"/>
    <w:rsid w:val="008549BA"/>
    <w:rsid w:val="00855449"/>
    <w:rsid w:val="00860675"/>
    <w:rsid w:val="008632CB"/>
    <w:rsid w:val="00864B28"/>
    <w:rsid w:val="00864C2A"/>
    <w:rsid w:val="0086566F"/>
    <w:rsid w:val="00866EAC"/>
    <w:rsid w:val="008672AE"/>
    <w:rsid w:val="00867B63"/>
    <w:rsid w:val="0087106F"/>
    <w:rsid w:val="00872159"/>
    <w:rsid w:val="0087697F"/>
    <w:rsid w:val="008804C7"/>
    <w:rsid w:val="00880CE1"/>
    <w:rsid w:val="00881AB8"/>
    <w:rsid w:val="00881E95"/>
    <w:rsid w:val="008821C2"/>
    <w:rsid w:val="008831C4"/>
    <w:rsid w:val="00883421"/>
    <w:rsid w:val="0088661B"/>
    <w:rsid w:val="00886A97"/>
    <w:rsid w:val="0088751D"/>
    <w:rsid w:val="00887BA2"/>
    <w:rsid w:val="0089091D"/>
    <w:rsid w:val="008912F0"/>
    <w:rsid w:val="0089172A"/>
    <w:rsid w:val="00892BBD"/>
    <w:rsid w:val="00893314"/>
    <w:rsid w:val="00893A4E"/>
    <w:rsid w:val="0089785B"/>
    <w:rsid w:val="008978E0"/>
    <w:rsid w:val="008A1A6A"/>
    <w:rsid w:val="008A353B"/>
    <w:rsid w:val="008A5829"/>
    <w:rsid w:val="008A6602"/>
    <w:rsid w:val="008A6729"/>
    <w:rsid w:val="008A7A62"/>
    <w:rsid w:val="008B0140"/>
    <w:rsid w:val="008B14FC"/>
    <w:rsid w:val="008B15B0"/>
    <w:rsid w:val="008B1872"/>
    <w:rsid w:val="008B2733"/>
    <w:rsid w:val="008B2E5E"/>
    <w:rsid w:val="008B305A"/>
    <w:rsid w:val="008B3A17"/>
    <w:rsid w:val="008B464C"/>
    <w:rsid w:val="008B4D43"/>
    <w:rsid w:val="008B552A"/>
    <w:rsid w:val="008B7C2E"/>
    <w:rsid w:val="008C22A7"/>
    <w:rsid w:val="008C2524"/>
    <w:rsid w:val="008C277F"/>
    <w:rsid w:val="008C4729"/>
    <w:rsid w:val="008C5D63"/>
    <w:rsid w:val="008D14E7"/>
    <w:rsid w:val="008D1A44"/>
    <w:rsid w:val="008D1A7B"/>
    <w:rsid w:val="008D1B5A"/>
    <w:rsid w:val="008D2977"/>
    <w:rsid w:val="008D2CD5"/>
    <w:rsid w:val="008D2F19"/>
    <w:rsid w:val="008D34A5"/>
    <w:rsid w:val="008D4E24"/>
    <w:rsid w:val="008E06CD"/>
    <w:rsid w:val="008E1A10"/>
    <w:rsid w:val="008E3694"/>
    <w:rsid w:val="008E394C"/>
    <w:rsid w:val="008E70EE"/>
    <w:rsid w:val="008E746F"/>
    <w:rsid w:val="008F0161"/>
    <w:rsid w:val="008F17EF"/>
    <w:rsid w:val="008F3EDC"/>
    <w:rsid w:val="008F6AD5"/>
    <w:rsid w:val="008F6C75"/>
    <w:rsid w:val="008F6FF7"/>
    <w:rsid w:val="008F705C"/>
    <w:rsid w:val="00902DB7"/>
    <w:rsid w:val="00903886"/>
    <w:rsid w:val="00903C40"/>
    <w:rsid w:val="00903D66"/>
    <w:rsid w:val="0090405B"/>
    <w:rsid w:val="00904089"/>
    <w:rsid w:val="009049B4"/>
    <w:rsid w:val="009061AD"/>
    <w:rsid w:val="009073BC"/>
    <w:rsid w:val="0090765B"/>
    <w:rsid w:val="00907A33"/>
    <w:rsid w:val="009105B7"/>
    <w:rsid w:val="009111E2"/>
    <w:rsid w:val="00912409"/>
    <w:rsid w:val="0091272B"/>
    <w:rsid w:val="00913058"/>
    <w:rsid w:val="0091346B"/>
    <w:rsid w:val="0091417F"/>
    <w:rsid w:val="009155CE"/>
    <w:rsid w:val="009156F0"/>
    <w:rsid w:val="00920E6E"/>
    <w:rsid w:val="00922654"/>
    <w:rsid w:val="00923BC0"/>
    <w:rsid w:val="00923EEC"/>
    <w:rsid w:val="0092432A"/>
    <w:rsid w:val="009243ED"/>
    <w:rsid w:val="009255E3"/>
    <w:rsid w:val="009260C9"/>
    <w:rsid w:val="00926980"/>
    <w:rsid w:val="00927857"/>
    <w:rsid w:val="00927F81"/>
    <w:rsid w:val="00930539"/>
    <w:rsid w:val="00930812"/>
    <w:rsid w:val="009311BB"/>
    <w:rsid w:val="00931C71"/>
    <w:rsid w:val="00932073"/>
    <w:rsid w:val="009320FF"/>
    <w:rsid w:val="00935367"/>
    <w:rsid w:val="009369DB"/>
    <w:rsid w:val="009372CC"/>
    <w:rsid w:val="00943117"/>
    <w:rsid w:val="00943408"/>
    <w:rsid w:val="00943FAB"/>
    <w:rsid w:val="00944625"/>
    <w:rsid w:val="00945112"/>
    <w:rsid w:val="00946272"/>
    <w:rsid w:val="009468A1"/>
    <w:rsid w:val="00946D02"/>
    <w:rsid w:val="009510C5"/>
    <w:rsid w:val="00953922"/>
    <w:rsid w:val="00953ED9"/>
    <w:rsid w:val="0095520B"/>
    <w:rsid w:val="0096036F"/>
    <w:rsid w:val="00960633"/>
    <w:rsid w:val="00961A75"/>
    <w:rsid w:val="00962732"/>
    <w:rsid w:val="0096281D"/>
    <w:rsid w:val="00962971"/>
    <w:rsid w:val="00963767"/>
    <w:rsid w:val="00963A61"/>
    <w:rsid w:val="00963E90"/>
    <w:rsid w:val="00964915"/>
    <w:rsid w:val="00965187"/>
    <w:rsid w:val="00965C20"/>
    <w:rsid w:val="00965C5B"/>
    <w:rsid w:val="0096644F"/>
    <w:rsid w:val="00967DA2"/>
    <w:rsid w:val="0097006C"/>
    <w:rsid w:val="00971920"/>
    <w:rsid w:val="00971D9E"/>
    <w:rsid w:val="00972B34"/>
    <w:rsid w:val="009731D8"/>
    <w:rsid w:val="00974944"/>
    <w:rsid w:val="009754A5"/>
    <w:rsid w:val="009758B3"/>
    <w:rsid w:val="00975971"/>
    <w:rsid w:val="00975F6A"/>
    <w:rsid w:val="009775A5"/>
    <w:rsid w:val="00977B52"/>
    <w:rsid w:val="00977FF7"/>
    <w:rsid w:val="00982C54"/>
    <w:rsid w:val="00982F42"/>
    <w:rsid w:val="009831DE"/>
    <w:rsid w:val="009860B7"/>
    <w:rsid w:val="00990209"/>
    <w:rsid w:val="0099045C"/>
    <w:rsid w:val="00990F02"/>
    <w:rsid w:val="00991215"/>
    <w:rsid w:val="00992776"/>
    <w:rsid w:val="00992B6C"/>
    <w:rsid w:val="00992BAD"/>
    <w:rsid w:val="009942F7"/>
    <w:rsid w:val="00995017"/>
    <w:rsid w:val="009953C2"/>
    <w:rsid w:val="009A0854"/>
    <w:rsid w:val="009A2890"/>
    <w:rsid w:val="009A3A36"/>
    <w:rsid w:val="009A44C4"/>
    <w:rsid w:val="009A4A0C"/>
    <w:rsid w:val="009B1142"/>
    <w:rsid w:val="009B1C58"/>
    <w:rsid w:val="009B2163"/>
    <w:rsid w:val="009B282F"/>
    <w:rsid w:val="009B2FC0"/>
    <w:rsid w:val="009B4B26"/>
    <w:rsid w:val="009B5232"/>
    <w:rsid w:val="009B588C"/>
    <w:rsid w:val="009B745B"/>
    <w:rsid w:val="009C0DE0"/>
    <w:rsid w:val="009C1260"/>
    <w:rsid w:val="009C1824"/>
    <w:rsid w:val="009C199B"/>
    <w:rsid w:val="009C4301"/>
    <w:rsid w:val="009C6221"/>
    <w:rsid w:val="009C6EDE"/>
    <w:rsid w:val="009C71B9"/>
    <w:rsid w:val="009C739D"/>
    <w:rsid w:val="009C7B60"/>
    <w:rsid w:val="009D1AA5"/>
    <w:rsid w:val="009D21AF"/>
    <w:rsid w:val="009D27A0"/>
    <w:rsid w:val="009D283F"/>
    <w:rsid w:val="009D4306"/>
    <w:rsid w:val="009D7331"/>
    <w:rsid w:val="009D7868"/>
    <w:rsid w:val="009E0BE6"/>
    <w:rsid w:val="009E3121"/>
    <w:rsid w:val="009E34A7"/>
    <w:rsid w:val="009E3E2C"/>
    <w:rsid w:val="009E42E2"/>
    <w:rsid w:val="009E604F"/>
    <w:rsid w:val="009E7EA5"/>
    <w:rsid w:val="009F0720"/>
    <w:rsid w:val="009F0FB8"/>
    <w:rsid w:val="009F183C"/>
    <w:rsid w:val="009F1D4F"/>
    <w:rsid w:val="009F28D9"/>
    <w:rsid w:val="009F2E9A"/>
    <w:rsid w:val="009F3B06"/>
    <w:rsid w:val="009F472C"/>
    <w:rsid w:val="009F59A0"/>
    <w:rsid w:val="009F5A57"/>
    <w:rsid w:val="009F69AD"/>
    <w:rsid w:val="009F72C5"/>
    <w:rsid w:val="009F7977"/>
    <w:rsid w:val="009F7CFA"/>
    <w:rsid w:val="00A00706"/>
    <w:rsid w:val="00A00F62"/>
    <w:rsid w:val="00A0110B"/>
    <w:rsid w:val="00A02194"/>
    <w:rsid w:val="00A02B5C"/>
    <w:rsid w:val="00A02FC6"/>
    <w:rsid w:val="00A03607"/>
    <w:rsid w:val="00A058C4"/>
    <w:rsid w:val="00A05C6A"/>
    <w:rsid w:val="00A11179"/>
    <w:rsid w:val="00A12388"/>
    <w:rsid w:val="00A12627"/>
    <w:rsid w:val="00A128C5"/>
    <w:rsid w:val="00A13FEE"/>
    <w:rsid w:val="00A145AF"/>
    <w:rsid w:val="00A14732"/>
    <w:rsid w:val="00A15D84"/>
    <w:rsid w:val="00A16233"/>
    <w:rsid w:val="00A17747"/>
    <w:rsid w:val="00A17D8E"/>
    <w:rsid w:val="00A20922"/>
    <w:rsid w:val="00A224A4"/>
    <w:rsid w:val="00A22B98"/>
    <w:rsid w:val="00A25A03"/>
    <w:rsid w:val="00A2685D"/>
    <w:rsid w:val="00A27E9B"/>
    <w:rsid w:val="00A27F65"/>
    <w:rsid w:val="00A31D20"/>
    <w:rsid w:val="00A3469A"/>
    <w:rsid w:val="00A349B2"/>
    <w:rsid w:val="00A34C37"/>
    <w:rsid w:val="00A36314"/>
    <w:rsid w:val="00A373C6"/>
    <w:rsid w:val="00A37985"/>
    <w:rsid w:val="00A40269"/>
    <w:rsid w:val="00A40693"/>
    <w:rsid w:val="00A41067"/>
    <w:rsid w:val="00A420B4"/>
    <w:rsid w:val="00A43503"/>
    <w:rsid w:val="00A4391C"/>
    <w:rsid w:val="00A43F61"/>
    <w:rsid w:val="00A45887"/>
    <w:rsid w:val="00A45E26"/>
    <w:rsid w:val="00A468DE"/>
    <w:rsid w:val="00A47194"/>
    <w:rsid w:val="00A506DC"/>
    <w:rsid w:val="00A527A9"/>
    <w:rsid w:val="00A54AE0"/>
    <w:rsid w:val="00A55B55"/>
    <w:rsid w:val="00A612ED"/>
    <w:rsid w:val="00A61567"/>
    <w:rsid w:val="00A61E9C"/>
    <w:rsid w:val="00A62608"/>
    <w:rsid w:val="00A642EE"/>
    <w:rsid w:val="00A64981"/>
    <w:rsid w:val="00A653D2"/>
    <w:rsid w:val="00A658DC"/>
    <w:rsid w:val="00A65917"/>
    <w:rsid w:val="00A65FB6"/>
    <w:rsid w:val="00A72141"/>
    <w:rsid w:val="00A72524"/>
    <w:rsid w:val="00A73555"/>
    <w:rsid w:val="00A75E3A"/>
    <w:rsid w:val="00A77BA8"/>
    <w:rsid w:val="00A77D85"/>
    <w:rsid w:val="00A81785"/>
    <w:rsid w:val="00A81947"/>
    <w:rsid w:val="00A821E5"/>
    <w:rsid w:val="00A825FD"/>
    <w:rsid w:val="00A82CC6"/>
    <w:rsid w:val="00A83861"/>
    <w:rsid w:val="00A8572F"/>
    <w:rsid w:val="00A857B1"/>
    <w:rsid w:val="00A85DD7"/>
    <w:rsid w:val="00A86B9C"/>
    <w:rsid w:val="00A87926"/>
    <w:rsid w:val="00A91CB1"/>
    <w:rsid w:val="00A930EC"/>
    <w:rsid w:val="00A93576"/>
    <w:rsid w:val="00A93C5B"/>
    <w:rsid w:val="00A93E8B"/>
    <w:rsid w:val="00A94885"/>
    <w:rsid w:val="00AA0467"/>
    <w:rsid w:val="00AA1358"/>
    <w:rsid w:val="00AA19B7"/>
    <w:rsid w:val="00AA2126"/>
    <w:rsid w:val="00AA2C45"/>
    <w:rsid w:val="00AA3AFE"/>
    <w:rsid w:val="00AA59D2"/>
    <w:rsid w:val="00AB2133"/>
    <w:rsid w:val="00AB4088"/>
    <w:rsid w:val="00AB4134"/>
    <w:rsid w:val="00AB4742"/>
    <w:rsid w:val="00AB6E37"/>
    <w:rsid w:val="00AB7CED"/>
    <w:rsid w:val="00AB7F3A"/>
    <w:rsid w:val="00AC177A"/>
    <w:rsid w:val="00AC1D86"/>
    <w:rsid w:val="00AC2835"/>
    <w:rsid w:val="00AC2BA8"/>
    <w:rsid w:val="00AC6DDB"/>
    <w:rsid w:val="00AD01CD"/>
    <w:rsid w:val="00AD032E"/>
    <w:rsid w:val="00AD1FD3"/>
    <w:rsid w:val="00AD2646"/>
    <w:rsid w:val="00AD2928"/>
    <w:rsid w:val="00AD2B64"/>
    <w:rsid w:val="00AD391F"/>
    <w:rsid w:val="00AD3E8C"/>
    <w:rsid w:val="00AE17BA"/>
    <w:rsid w:val="00AE17F3"/>
    <w:rsid w:val="00AE1AAA"/>
    <w:rsid w:val="00AE1F6B"/>
    <w:rsid w:val="00AE293E"/>
    <w:rsid w:val="00AE5454"/>
    <w:rsid w:val="00AE5928"/>
    <w:rsid w:val="00AE5F6E"/>
    <w:rsid w:val="00AE60DC"/>
    <w:rsid w:val="00AE6E88"/>
    <w:rsid w:val="00AE7158"/>
    <w:rsid w:val="00AE7C9A"/>
    <w:rsid w:val="00AF186F"/>
    <w:rsid w:val="00AF2F72"/>
    <w:rsid w:val="00AF3B8F"/>
    <w:rsid w:val="00AF6F27"/>
    <w:rsid w:val="00AF6FF1"/>
    <w:rsid w:val="00B00D69"/>
    <w:rsid w:val="00B02E61"/>
    <w:rsid w:val="00B0327D"/>
    <w:rsid w:val="00B0331B"/>
    <w:rsid w:val="00B03B71"/>
    <w:rsid w:val="00B03CB4"/>
    <w:rsid w:val="00B0606B"/>
    <w:rsid w:val="00B07050"/>
    <w:rsid w:val="00B11BFA"/>
    <w:rsid w:val="00B14D3B"/>
    <w:rsid w:val="00B151CE"/>
    <w:rsid w:val="00B15A6C"/>
    <w:rsid w:val="00B170BB"/>
    <w:rsid w:val="00B17B83"/>
    <w:rsid w:val="00B20B0F"/>
    <w:rsid w:val="00B20BFB"/>
    <w:rsid w:val="00B22249"/>
    <w:rsid w:val="00B2255F"/>
    <w:rsid w:val="00B22782"/>
    <w:rsid w:val="00B24653"/>
    <w:rsid w:val="00B27B52"/>
    <w:rsid w:val="00B30404"/>
    <w:rsid w:val="00B31244"/>
    <w:rsid w:val="00B31931"/>
    <w:rsid w:val="00B31985"/>
    <w:rsid w:val="00B32E83"/>
    <w:rsid w:val="00B35432"/>
    <w:rsid w:val="00B36A98"/>
    <w:rsid w:val="00B3796B"/>
    <w:rsid w:val="00B402FF"/>
    <w:rsid w:val="00B414DB"/>
    <w:rsid w:val="00B41D96"/>
    <w:rsid w:val="00B428C6"/>
    <w:rsid w:val="00B4291F"/>
    <w:rsid w:val="00B43692"/>
    <w:rsid w:val="00B44102"/>
    <w:rsid w:val="00B46926"/>
    <w:rsid w:val="00B47548"/>
    <w:rsid w:val="00B50F40"/>
    <w:rsid w:val="00B558CD"/>
    <w:rsid w:val="00B55A42"/>
    <w:rsid w:val="00B55B2F"/>
    <w:rsid w:val="00B55DE3"/>
    <w:rsid w:val="00B56231"/>
    <w:rsid w:val="00B5754A"/>
    <w:rsid w:val="00B60614"/>
    <w:rsid w:val="00B6077F"/>
    <w:rsid w:val="00B61B86"/>
    <w:rsid w:val="00B61E1F"/>
    <w:rsid w:val="00B629A1"/>
    <w:rsid w:val="00B65735"/>
    <w:rsid w:val="00B660DC"/>
    <w:rsid w:val="00B66BAE"/>
    <w:rsid w:val="00B7027F"/>
    <w:rsid w:val="00B71618"/>
    <w:rsid w:val="00B71C7C"/>
    <w:rsid w:val="00B72102"/>
    <w:rsid w:val="00B74694"/>
    <w:rsid w:val="00B756B7"/>
    <w:rsid w:val="00B760E3"/>
    <w:rsid w:val="00B77254"/>
    <w:rsid w:val="00B826DD"/>
    <w:rsid w:val="00B82AD7"/>
    <w:rsid w:val="00B868BC"/>
    <w:rsid w:val="00B86E9C"/>
    <w:rsid w:val="00B87CD9"/>
    <w:rsid w:val="00B930B1"/>
    <w:rsid w:val="00B95DE9"/>
    <w:rsid w:val="00B968DA"/>
    <w:rsid w:val="00B970AE"/>
    <w:rsid w:val="00B976EE"/>
    <w:rsid w:val="00BA10E3"/>
    <w:rsid w:val="00BA1DAD"/>
    <w:rsid w:val="00BA1E56"/>
    <w:rsid w:val="00BA2CC4"/>
    <w:rsid w:val="00BA3CB2"/>
    <w:rsid w:val="00BA576B"/>
    <w:rsid w:val="00BB001C"/>
    <w:rsid w:val="00BB1130"/>
    <w:rsid w:val="00BB1B4D"/>
    <w:rsid w:val="00BB23A2"/>
    <w:rsid w:val="00BB23F4"/>
    <w:rsid w:val="00BB35C0"/>
    <w:rsid w:val="00BB476A"/>
    <w:rsid w:val="00BB5CE8"/>
    <w:rsid w:val="00BB69A8"/>
    <w:rsid w:val="00BB7411"/>
    <w:rsid w:val="00BC1690"/>
    <w:rsid w:val="00BC2648"/>
    <w:rsid w:val="00BC4C43"/>
    <w:rsid w:val="00BC58FA"/>
    <w:rsid w:val="00BC59F3"/>
    <w:rsid w:val="00BC7179"/>
    <w:rsid w:val="00BC7381"/>
    <w:rsid w:val="00BC786F"/>
    <w:rsid w:val="00BD01DC"/>
    <w:rsid w:val="00BD04E8"/>
    <w:rsid w:val="00BD126F"/>
    <w:rsid w:val="00BD1284"/>
    <w:rsid w:val="00BD1EB4"/>
    <w:rsid w:val="00BD446B"/>
    <w:rsid w:val="00BD4684"/>
    <w:rsid w:val="00BD530F"/>
    <w:rsid w:val="00BD5C44"/>
    <w:rsid w:val="00BD5D52"/>
    <w:rsid w:val="00BD7C77"/>
    <w:rsid w:val="00BE00B4"/>
    <w:rsid w:val="00BF4334"/>
    <w:rsid w:val="00BF4CEC"/>
    <w:rsid w:val="00BF5470"/>
    <w:rsid w:val="00BF76FE"/>
    <w:rsid w:val="00BF7FA4"/>
    <w:rsid w:val="00C00D16"/>
    <w:rsid w:val="00C017E3"/>
    <w:rsid w:val="00C02937"/>
    <w:rsid w:val="00C02E6E"/>
    <w:rsid w:val="00C0385B"/>
    <w:rsid w:val="00C03FBD"/>
    <w:rsid w:val="00C0430C"/>
    <w:rsid w:val="00C07B05"/>
    <w:rsid w:val="00C10E5A"/>
    <w:rsid w:val="00C11449"/>
    <w:rsid w:val="00C11613"/>
    <w:rsid w:val="00C15297"/>
    <w:rsid w:val="00C15EFF"/>
    <w:rsid w:val="00C20684"/>
    <w:rsid w:val="00C219C7"/>
    <w:rsid w:val="00C25171"/>
    <w:rsid w:val="00C256E4"/>
    <w:rsid w:val="00C26B92"/>
    <w:rsid w:val="00C26C2F"/>
    <w:rsid w:val="00C26D10"/>
    <w:rsid w:val="00C27536"/>
    <w:rsid w:val="00C30500"/>
    <w:rsid w:val="00C31356"/>
    <w:rsid w:val="00C315EE"/>
    <w:rsid w:val="00C32536"/>
    <w:rsid w:val="00C3328F"/>
    <w:rsid w:val="00C333A4"/>
    <w:rsid w:val="00C33647"/>
    <w:rsid w:val="00C34749"/>
    <w:rsid w:val="00C37580"/>
    <w:rsid w:val="00C40738"/>
    <w:rsid w:val="00C40841"/>
    <w:rsid w:val="00C42B66"/>
    <w:rsid w:val="00C44A77"/>
    <w:rsid w:val="00C45488"/>
    <w:rsid w:val="00C45B9F"/>
    <w:rsid w:val="00C46D77"/>
    <w:rsid w:val="00C47080"/>
    <w:rsid w:val="00C47107"/>
    <w:rsid w:val="00C472F3"/>
    <w:rsid w:val="00C518D7"/>
    <w:rsid w:val="00C51E7D"/>
    <w:rsid w:val="00C5260C"/>
    <w:rsid w:val="00C52836"/>
    <w:rsid w:val="00C53F10"/>
    <w:rsid w:val="00C55C67"/>
    <w:rsid w:val="00C5682A"/>
    <w:rsid w:val="00C56D77"/>
    <w:rsid w:val="00C57C3A"/>
    <w:rsid w:val="00C6162E"/>
    <w:rsid w:val="00C6187C"/>
    <w:rsid w:val="00C62B71"/>
    <w:rsid w:val="00C62EA3"/>
    <w:rsid w:val="00C6649D"/>
    <w:rsid w:val="00C71F85"/>
    <w:rsid w:val="00C72B3A"/>
    <w:rsid w:val="00C75F96"/>
    <w:rsid w:val="00C76305"/>
    <w:rsid w:val="00C7640F"/>
    <w:rsid w:val="00C81491"/>
    <w:rsid w:val="00C825A0"/>
    <w:rsid w:val="00C83CC9"/>
    <w:rsid w:val="00C85043"/>
    <w:rsid w:val="00C85590"/>
    <w:rsid w:val="00C85C9E"/>
    <w:rsid w:val="00C85E67"/>
    <w:rsid w:val="00C91921"/>
    <w:rsid w:val="00C95375"/>
    <w:rsid w:val="00C970C0"/>
    <w:rsid w:val="00C97548"/>
    <w:rsid w:val="00CA1C39"/>
    <w:rsid w:val="00CA30E9"/>
    <w:rsid w:val="00CA4412"/>
    <w:rsid w:val="00CA70CC"/>
    <w:rsid w:val="00CA7A96"/>
    <w:rsid w:val="00CB13A5"/>
    <w:rsid w:val="00CB1EE3"/>
    <w:rsid w:val="00CB2ED2"/>
    <w:rsid w:val="00CB4978"/>
    <w:rsid w:val="00CB5811"/>
    <w:rsid w:val="00CC0064"/>
    <w:rsid w:val="00CC1803"/>
    <w:rsid w:val="00CC2F28"/>
    <w:rsid w:val="00CC34A3"/>
    <w:rsid w:val="00CC4119"/>
    <w:rsid w:val="00CC76E9"/>
    <w:rsid w:val="00CD0950"/>
    <w:rsid w:val="00CD120F"/>
    <w:rsid w:val="00CD15BB"/>
    <w:rsid w:val="00CD444B"/>
    <w:rsid w:val="00CD717E"/>
    <w:rsid w:val="00CE1D04"/>
    <w:rsid w:val="00CE2600"/>
    <w:rsid w:val="00CE6B16"/>
    <w:rsid w:val="00CE7905"/>
    <w:rsid w:val="00CE7B18"/>
    <w:rsid w:val="00CF0B51"/>
    <w:rsid w:val="00CF0ED3"/>
    <w:rsid w:val="00CF1645"/>
    <w:rsid w:val="00CF210C"/>
    <w:rsid w:val="00CF2FBA"/>
    <w:rsid w:val="00CF3716"/>
    <w:rsid w:val="00CF5F56"/>
    <w:rsid w:val="00CF7D0F"/>
    <w:rsid w:val="00D0045F"/>
    <w:rsid w:val="00D01359"/>
    <w:rsid w:val="00D01862"/>
    <w:rsid w:val="00D02B32"/>
    <w:rsid w:val="00D035F4"/>
    <w:rsid w:val="00D05E04"/>
    <w:rsid w:val="00D06B73"/>
    <w:rsid w:val="00D1349A"/>
    <w:rsid w:val="00D13878"/>
    <w:rsid w:val="00D13FC1"/>
    <w:rsid w:val="00D16013"/>
    <w:rsid w:val="00D16178"/>
    <w:rsid w:val="00D171C1"/>
    <w:rsid w:val="00D17D99"/>
    <w:rsid w:val="00D2072B"/>
    <w:rsid w:val="00D208C0"/>
    <w:rsid w:val="00D21058"/>
    <w:rsid w:val="00D250C8"/>
    <w:rsid w:val="00D25FF4"/>
    <w:rsid w:val="00D277C6"/>
    <w:rsid w:val="00D30DFF"/>
    <w:rsid w:val="00D3233E"/>
    <w:rsid w:val="00D356F0"/>
    <w:rsid w:val="00D35F46"/>
    <w:rsid w:val="00D36A22"/>
    <w:rsid w:val="00D41B83"/>
    <w:rsid w:val="00D420A3"/>
    <w:rsid w:val="00D434D2"/>
    <w:rsid w:val="00D46F9B"/>
    <w:rsid w:val="00D47176"/>
    <w:rsid w:val="00D472A1"/>
    <w:rsid w:val="00D51252"/>
    <w:rsid w:val="00D514CE"/>
    <w:rsid w:val="00D51805"/>
    <w:rsid w:val="00D53806"/>
    <w:rsid w:val="00D53835"/>
    <w:rsid w:val="00D5438B"/>
    <w:rsid w:val="00D552DD"/>
    <w:rsid w:val="00D557E9"/>
    <w:rsid w:val="00D55ED4"/>
    <w:rsid w:val="00D57DCB"/>
    <w:rsid w:val="00D6003A"/>
    <w:rsid w:val="00D6069A"/>
    <w:rsid w:val="00D606B9"/>
    <w:rsid w:val="00D61D7B"/>
    <w:rsid w:val="00D626AA"/>
    <w:rsid w:val="00D6282C"/>
    <w:rsid w:val="00D63B9D"/>
    <w:rsid w:val="00D63CC0"/>
    <w:rsid w:val="00D63E2C"/>
    <w:rsid w:val="00D65832"/>
    <w:rsid w:val="00D66414"/>
    <w:rsid w:val="00D674DB"/>
    <w:rsid w:val="00D67A35"/>
    <w:rsid w:val="00D67BCF"/>
    <w:rsid w:val="00D704CF"/>
    <w:rsid w:val="00D70AE4"/>
    <w:rsid w:val="00D70D05"/>
    <w:rsid w:val="00D71719"/>
    <w:rsid w:val="00D72347"/>
    <w:rsid w:val="00D73A50"/>
    <w:rsid w:val="00D750FD"/>
    <w:rsid w:val="00D7579B"/>
    <w:rsid w:val="00D765E3"/>
    <w:rsid w:val="00D76B02"/>
    <w:rsid w:val="00D76DD5"/>
    <w:rsid w:val="00D77C17"/>
    <w:rsid w:val="00D77E74"/>
    <w:rsid w:val="00D80000"/>
    <w:rsid w:val="00D80906"/>
    <w:rsid w:val="00D82178"/>
    <w:rsid w:val="00D85815"/>
    <w:rsid w:val="00D85F45"/>
    <w:rsid w:val="00D86A87"/>
    <w:rsid w:val="00D8735A"/>
    <w:rsid w:val="00D87450"/>
    <w:rsid w:val="00D908F3"/>
    <w:rsid w:val="00D912B4"/>
    <w:rsid w:val="00D9174B"/>
    <w:rsid w:val="00D9689F"/>
    <w:rsid w:val="00DA004D"/>
    <w:rsid w:val="00DA052A"/>
    <w:rsid w:val="00DA06FB"/>
    <w:rsid w:val="00DA10CC"/>
    <w:rsid w:val="00DA41C9"/>
    <w:rsid w:val="00DA48B1"/>
    <w:rsid w:val="00DA499F"/>
    <w:rsid w:val="00DA5177"/>
    <w:rsid w:val="00DA582B"/>
    <w:rsid w:val="00DA5A04"/>
    <w:rsid w:val="00DA6EB7"/>
    <w:rsid w:val="00DA791C"/>
    <w:rsid w:val="00DB010A"/>
    <w:rsid w:val="00DB0A42"/>
    <w:rsid w:val="00DB2B16"/>
    <w:rsid w:val="00DB4374"/>
    <w:rsid w:val="00DB53B5"/>
    <w:rsid w:val="00DB71E4"/>
    <w:rsid w:val="00DB7F1B"/>
    <w:rsid w:val="00DC082C"/>
    <w:rsid w:val="00DC1AE1"/>
    <w:rsid w:val="00DC2587"/>
    <w:rsid w:val="00DC6C94"/>
    <w:rsid w:val="00DC7BC6"/>
    <w:rsid w:val="00DD0C03"/>
    <w:rsid w:val="00DD471B"/>
    <w:rsid w:val="00DD6F08"/>
    <w:rsid w:val="00DD7808"/>
    <w:rsid w:val="00DE0205"/>
    <w:rsid w:val="00DE0B43"/>
    <w:rsid w:val="00DE1827"/>
    <w:rsid w:val="00DE2CC5"/>
    <w:rsid w:val="00DE3A99"/>
    <w:rsid w:val="00DE4138"/>
    <w:rsid w:val="00DE4F55"/>
    <w:rsid w:val="00DE5836"/>
    <w:rsid w:val="00DE7485"/>
    <w:rsid w:val="00DE7F76"/>
    <w:rsid w:val="00DF0612"/>
    <w:rsid w:val="00DF1967"/>
    <w:rsid w:val="00DF4CC7"/>
    <w:rsid w:val="00DF5CA2"/>
    <w:rsid w:val="00DF7376"/>
    <w:rsid w:val="00DF7D0D"/>
    <w:rsid w:val="00E01A5B"/>
    <w:rsid w:val="00E01B62"/>
    <w:rsid w:val="00E02FA2"/>
    <w:rsid w:val="00E030CB"/>
    <w:rsid w:val="00E03334"/>
    <w:rsid w:val="00E0550F"/>
    <w:rsid w:val="00E061E5"/>
    <w:rsid w:val="00E0731E"/>
    <w:rsid w:val="00E102E1"/>
    <w:rsid w:val="00E13C03"/>
    <w:rsid w:val="00E1418C"/>
    <w:rsid w:val="00E16027"/>
    <w:rsid w:val="00E170F8"/>
    <w:rsid w:val="00E171FE"/>
    <w:rsid w:val="00E21A1A"/>
    <w:rsid w:val="00E21BC5"/>
    <w:rsid w:val="00E21E1D"/>
    <w:rsid w:val="00E24974"/>
    <w:rsid w:val="00E24F7B"/>
    <w:rsid w:val="00E2632C"/>
    <w:rsid w:val="00E30143"/>
    <w:rsid w:val="00E31433"/>
    <w:rsid w:val="00E31A95"/>
    <w:rsid w:val="00E326DA"/>
    <w:rsid w:val="00E32945"/>
    <w:rsid w:val="00E34258"/>
    <w:rsid w:val="00E358D2"/>
    <w:rsid w:val="00E36095"/>
    <w:rsid w:val="00E3664A"/>
    <w:rsid w:val="00E36E26"/>
    <w:rsid w:val="00E36FA5"/>
    <w:rsid w:val="00E3757C"/>
    <w:rsid w:val="00E41D1C"/>
    <w:rsid w:val="00E42F92"/>
    <w:rsid w:val="00E4320F"/>
    <w:rsid w:val="00E43A9F"/>
    <w:rsid w:val="00E44B5D"/>
    <w:rsid w:val="00E509EA"/>
    <w:rsid w:val="00E50D72"/>
    <w:rsid w:val="00E5118E"/>
    <w:rsid w:val="00E52808"/>
    <w:rsid w:val="00E528EB"/>
    <w:rsid w:val="00E54238"/>
    <w:rsid w:val="00E54EB2"/>
    <w:rsid w:val="00E551D8"/>
    <w:rsid w:val="00E56412"/>
    <w:rsid w:val="00E57C1B"/>
    <w:rsid w:val="00E6021A"/>
    <w:rsid w:val="00E636D7"/>
    <w:rsid w:val="00E63D65"/>
    <w:rsid w:val="00E6411A"/>
    <w:rsid w:val="00E64CD7"/>
    <w:rsid w:val="00E65AB8"/>
    <w:rsid w:val="00E661CA"/>
    <w:rsid w:val="00E66261"/>
    <w:rsid w:val="00E67B55"/>
    <w:rsid w:val="00E701BE"/>
    <w:rsid w:val="00E73B5A"/>
    <w:rsid w:val="00E7752F"/>
    <w:rsid w:val="00E778D8"/>
    <w:rsid w:val="00E8026F"/>
    <w:rsid w:val="00E81B70"/>
    <w:rsid w:val="00E834A5"/>
    <w:rsid w:val="00E845A2"/>
    <w:rsid w:val="00E8589D"/>
    <w:rsid w:val="00E85CBE"/>
    <w:rsid w:val="00E86196"/>
    <w:rsid w:val="00E86B48"/>
    <w:rsid w:val="00E86E6A"/>
    <w:rsid w:val="00E86E6F"/>
    <w:rsid w:val="00E8791B"/>
    <w:rsid w:val="00E90A97"/>
    <w:rsid w:val="00E90FA9"/>
    <w:rsid w:val="00E90FB4"/>
    <w:rsid w:val="00E93570"/>
    <w:rsid w:val="00E9526C"/>
    <w:rsid w:val="00E96993"/>
    <w:rsid w:val="00E96AF4"/>
    <w:rsid w:val="00E9716F"/>
    <w:rsid w:val="00EA112B"/>
    <w:rsid w:val="00EA209C"/>
    <w:rsid w:val="00EA3D6B"/>
    <w:rsid w:val="00EA695F"/>
    <w:rsid w:val="00EA6CE1"/>
    <w:rsid w:val="00EB0DA0"/>
    <w:rsid w:val="00EB0EFC"/>
    <w:rsid w:val="00EB15DC"/>
    <w:rsid w:val="00EB43A9"/>
    <w:rsid w:val="00EB43B7"/>
    <w:rsid w:val="00EB4513"/>
    <w:rsid w:val="00EC0807"/>
    <w:rsid w:val="00EC0BA5"/>
    <w:rsid w:val="00EC11DA"/>
    <w:rsid w:val="00EC19ED"/>
    <w:rsid w:val="00EC1F16"/>
    <w:rsid w:val="00EC3F5C"/>
    <w:rsid w:val="00EC41C4"/>
    <w:rsid w:val="00EC44A3"/>
    <w:rsid w:val="00EC51A2"/>
    <w:rsid w:val="00EC77F8"/>
    <w:rsid w:val="00EC7CD5"/>
    <w:rsid w:val="00ED1245"/>
    <w:rsid w:val="00ED22AE"/>
    <w:rsid w:val="00ED49F2"/>
    <w:rsid w:val="00ED71C5"/>
    <w:rsid w:val="00ED7472"/>
    <w:rsid w:val="00EE0090"/>
    <w:rsid w:val="00EE1286"/>
    <w:rsid w:val="00EE1F89"/>
    <w:rsid w:val="00EE2EF0"/>
    <w:rsid w:val="00EE3096"/>
    <w:rsid w:val="00EE3896"/>
    <w:rsid w:val="00EE3DE1"/>
    <w:rsid w:val="00EE5B30"/>
    <w:rsid w:val="00EE6105"/>
    <w:rsid w:val="00EE6FCA"/>
    <w:rsid w:val="00EE7699"/>
    <w:rsid w:val="00EE7CFF"/>
    <w:rsid w:val="00EF1286"/>
    <w:rsid w:val="00EF1E4A"/>
    <w:rsid w:val="00EF4069"/>
    <w:rsid w:val="00EF6761"/>
    <w:rsid w:val="00EF6FF7"/>
    <w:rsid w:val="00EF71B1"/>
    <w:rsid w:val="00EF725D"/>
    <w:rsid w:val="00EF7A3C"/>
    <w:rsid w:val="00EF7BDE"/>
    <w:rsid w:val="00F000CC"/>
    <w:rsid w:val="00F00969"/>
    <w:rsid w:val="00F018A9"/>
    <w:rsid w:val="00F01A68"/>
    <w:rsid w:val="00F01E1E"/>
    <w:rsid w:val="00F0229E"/>
    <w:rsid w:val="00F030D8"/>
    <w:rsid w:val="00F04956"/>
    <w:rsid w:val="00F04E2E"/>
    <w:rsid w:val="00F053BA"/>
    <w:rsid w:val="00F05476"/>
    <w:rsid w:val="00F05CDD"/>
    <w:rsid w:val="00F06100"/>
    <w:rsid w:val="00F06FA0"/>
    <w:rsid w:val="00F06FFB"/>
    <w:rsid w:val="00F07098"/>
    <w:rsid w:val="00F070A0"/>
    <w:rsid w:val="00F0745E"/>
    <w:rsid w:val="00F07A50"/>
    <w:rsid w:val="00F10EB5"/>
    <w:rsid w:val="00F11BA0"/>
    <w:rsid w:val="00F1235B"/>
    <w:rsid w:val="00F127CA"/>
    <w:rsid w:val="00F13A57"/>
    <w:rsid w:val="00F14A08"/>
    <w:rsid w:val="00F14A8C"/>
    <w:rsid w:val="00F152AB"/>
    <w:rsid w:val="00F166B0"/>
    <w:rsid w:val="00F20BA4"/>
    <w:rsid w:val="00F22F32"/>
    <w:rsid w:val="00F232BA"/>
    <w:rsid w:val="00F25384"/>
    <w:rsid w:val="00F2620E"/>
    <w:rsid w:val="00F26228"/>
    <w:rsid w:val="00F2733E"/>
    <w:rsid w:val="00F2754D"/>
    <w:rsid w:val="00F27652"/>
    <w:rsid w:val="00F27836"/>
    <w:rsid w:val="00F303C9"/>
    <w:rsid w:val="00F32D28"/>
    <w:rsid w:val="00F3331F"/>
    <w:rsid w:val="00F335D9"/>
    <w:rsid w:val="00F35ED2"/>
    <w:rsid w:val="00F3643C"/>
    <w:rsid w:val="00F41382"/>
    <w:rsid w:val="00F41845"/>
    <w:rsid w:val="00F41A2D"/>
    <w:rsid w:val="00F4218E"/>
    <w:rsid w:val="00F428BE"/>
    <w:rsid w:val="00F4366E"/>
    <w:rsid w:val="00F4467A"/>
    <w:rsid w:val="00F449E9"/>
    <w:rsid w:val="00F46095"/>
    <w:rsid w:val="00F47410"/>
    <w:rsid w:val="00F47F1C"/>
    <w:rsid w:val="00F503CA"/>
    <w:rsid w:val="00F52DE8"/>
    <w:rsid w:val="00F53939"/>
    <w:rsid w:val="00F53DD8"/>
    <w:rsid w:val="00F56701"/>
    <w:rsid w:val="00F56B64"/>
    <w:rsid w:val="00F56DB8"/>
    <w:rsid w:val="00F61252"/>
    <w:rsid w:val="00F622AD"/>
    <w:rsid w:val="00F627A5"/>
    <w:rsid w:val="00F636A4"/>
    <w:rsid w:val="00F63F4E"/>
    <w:rsid w:val="00F64C80"/>
    <w:rsid w:val="00F64FBB"/>
    <w:rsid w:val="00F664CC"/>
    <w:rsid w:val="00F66D7C"/>
    <w:rsid w:val="00F67188"/>
    <w:rsid w:val="00F70D1C"/>
    <w:rsid w:val="00F71410"/>
    <w:rsid w:val="00F71786"/>
    <w:rsid w:val="00F717A9"/>
    <w:rsid w:val="00F71C99"/>
    <w:rsid w:val="00F71F41"/>
    <w:rsid w:val="00F72B4D"/>
    <w:rsid w:val="00F731B3"/>
    <w:rsid w:val="00F73573"/>
    <w:rsid w:val="00F73B05"/>
    <w:rsid w:val="00F74D70"/>
    <w:rsid w:val="00F75DD5"/>
    <w:rsid w:val="00F764FA"/>
    <w:rsid w:val="00F77296"/>
    <w:rsid w:val="00F772A0"/>
    <w:rsid w:val="00F776F9"/>
    <w:rsid w:val="00F80A47"/>
    <w:rsid w:val="00F80F89"/>
    <w:rsid w:val="00F81F87"/>
    <w:rsid w:val="00F8238B"/>
    <w:rsid w:val="00F82746"/>
    <w:rsid w:val="00F833ED"/>
    <w:rsid w:val="00F83BD1"/>
    <w:rsid w:val="00F83C7B"/>
    <w:rsid w:val="00F84CEE"/>
    <w:rsid w:val="00F856EC"/>
    <w:rsid w:val="00F864E8"/>
    <w:rsid w:val="00F908BB"/>
    <w:rsid w:val="00F90D67"/>
    <w:rsid w:val="00F92394"/>
    <w:rsid w:val="00F92F0B"/>
    <w:rsid w:val="00F936C7"/>
    <w:rsid w:val="00F94C82"/>
    <w:rsid w:val="00F955B8"/>
    <w:rsid w:val="00F95622"/>
    <w:rsid w:val="00F95FF6"/>
    <w:rsid w:val="00F97413"/>
    <w:rsid w:val="00F977B0"/>
    <w:rsid w:val="00FA03DF"/>
    <w:rsid w:val="00FA29A1"/>
    <w:rsid w:val="00FA3721"/>
    <w:rsid w:val="00FA5484"/>
    <w:rsid w:val="00FA551A"/>
    <w:rsid w:val="00FA6E7C"/>
    <w:rsid w:val="00FA7C0A"/>
    <w:rsid w:val="00FB0BBC"/>
    <w:rsid w:val="00FB1ED9"/>
    <w:rsid w:val="00FB2B9D"/>
    <w:rsid w:val="00FB42C4"/>
    <w:rsid w:val="00FB48E9"/>
    <w:rsid w:val="00FB5AC1"/>
    <w:rsid w:val="00FB5B0F"/>
    <w:rsid w:val="00FB5F77"/>
    <w:rsid w:val="00FB6AEB"/>
    <w:rsid w:val="00FC4237"/>
    <w:rsid w:val="00FC565D"/>
    <w:rsid w:val="00FC7288"/>
    <w:rsid w:val="00FC74AF"/>
    <w:rsid w:val="00FC78D9"/>
    <w:rsid w:val="00FD2F23"/>
    <w:rsid w:val="00FD36C0"/>
    <w:rsid w:val="00FD3805"/>
    <w:rsid w:val="00FD537E"/>
    <w:rsid w:val="00FD6446"/>
    <w:rsid w:val="00FE3B8F"/>
    <w:rsid w:val="00FE5491"/>
    <w:rsid w:val="00FE6536"/>
    <w:rsid w:val="00FE67A4"/>
    <w:rsid w:val="00FE7AA5"/>
    <w:rsid w:val="00FF0A56"/>
    <w:rsid w:val="00FF0D94"/>
    <w:rsid w:val="00FF18A8"/>
    <w:rsid w:val="00FF1B49"/>
    <w:rsid w:val="00FF3CB6"/>
    <w:rsid w:val="00FF3D21"/>
    <w:rsid w:val="00FF4D41"/>
    <w:rsid w:val="00FF4D98"/>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32FD77"/>
  <w14:defaultImageDpi w14:val="330"/>
  <w15:docId w15:val="{CE7602C2-65AA-4290-BC1E-5A65D329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A72524"/>
    <w:pPr>
      <w:spacing w:before="240" w:after="120" w:line="240" w:lineRule="atLeast"/>
    </w:pPr>
    <w:rPr>
      <w:sz w:val="20"/>
    </w:rPr>
  </w:style>
  <w:style w:type="paragraph" w:styleId="Heading1">
    <w:name w:val="heading 1"/>
    <w:next w:val="BodyText"/>
    <w:link w:val="Heading1Char"/>
    <w:uiPriority w:val="5"/>
    <w:qFormat/>
    <w:rsid w:val="00BA1E56"/>
    <w:pPr>
      <w:keepNext/>
      <w:keepLines/>
      <w:numPr>
        <w:numId w:val="14"/>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BA1E56"/>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BA1E56"/>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BA1E56"/>
    <w:pPr>
      <w:numPr>
        <w:ilvl w:val="3"/>
        <w:numId w:val="1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BA1E56"/>
    <w:pPr>
      <w:numPr>
        <w:ilvl w:val="0"/>
        <w:numId w:val="0"/>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BA1E56"/>
    <w:pPr>
      <w:numPr>
        <w:ilvl w:val="5"/>
        <w:numId w:val="13"/>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BA1E56"/>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BA1E56"/>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BA1E56"/>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BA1E56"/>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BA1E56"/>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BA1E56"/>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BA1E56"/>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BA1E56"/>
    <w:pPr>
      <w:keepLines/>
    </w:pPr>
  </w:style>
  <w:style w:type="character" w:customStyle="1" w:styleId="BodyTextChar">
    <w:name w:val="Body Text Char"/>
    <w:basedOn w:val="DefaultParagraphFont"/>
    <w:link w:val="BodyText"/>
    <w:rsid w:val="00BA1E56"/>
    <w:rPr>
      <w:sz w:val="20"/>
    </w:rPr>
  </w:style>
  <w:style w:type="paragraph" w:styleId="TOC1">
    <w:name w:val="toc 1"/>
    <w:basedOn w:val="Normal"/>
    <w:next w:val="BodyText"/>
    <w:uiPriority w:val="39"/>
    <w:rsid w:val="00BA1E56"/>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BA1E56"/>
    <w:pPr>
      <w:spacing w:before="120" w:after="60"/>
    </w:pPr>
    <w:rPr>
      <w:sz w:val="20"/>
    </w:rPr>
  </w:style>
  <w:style w:type="paragraph" w:styleId="TOC3">
    <w:name w:val="toc 3"/>
    <w:basedOn w:val="TOC2"/>
    <w:next w:val="BodyText"/>
    <w:uiPriority w:val="39"/>
    <w:rsid w:val="00BA1E56"/>
    <w:pPr>
      <w:tabs>
        <w:tab w:val="clear" w:pos="851"/>
        <w:tab w:val="left" w:pos="1985"/>
      </w:tabs>
      <w:spacing w:before="60"/>
      <w:ind w:left="1985" w:hanging="1134"/>
    </w:pPr>
    <w:rPr>
      <w:color w:val="auto"/>
    </w:rPr>
  </w:style>
  <w:style w:type="paragraph" w:styleId="TOC4">
    <w:name w:val="toc 4"/>
    <w:basedOn w:val="TOC1"/>
    <w:next w:val="BodyText"/>
    <w:uiPriority w:val="39"/>
    <w:rsid w:val="00BA1E56"/>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BA1E56"/>
    <w:pPr>
      <w:tabs>
        <w:tab w:val="clear" w:pos="851"/>
      </w:tabs>
      <w:spacing w:before="240" w:after="120"/>
      <w:ind w:left="0" w:firstLine="0"/>
    </w:pPr>
    <w:rPr>
      <w:sz w:val="22"/>
    </w:rPr>
  </w:style>
  <w:style w:type="paragraph" w:styleId="TOC6">
    <w:name w:val="toc 6"/>
    <w:basedOn w:val="TOC3"/>
    <w:next w:val="BodyText"/>
    <w:uiPriority w:val="39"/>
    <w:rsid w:val="00BA1E56"/>
    <w:pPr>
      <w:tabs>
        <w:tab w:val="clear" w:pos="1985"/>
      </w:tabs>
    </w:pPr>
  </w:style>
  <w:style w:type="character" w:customStyle="1" w:styleId="Heading4Char">
    <w:name w:val="Heading 4 Char"/>
    <w:basedOn w:val="DefaultParagraphFont"/>
    <w:link w:val="Heading4"/>
    <w:uiPriority w:val="6"/>
    <w:rsid w:val="00BA1E56"/>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BA1E56"/>
    <w:pPr>
      <w:tabs>
        <w:tab w:val="clear" w:pos="851"/>
      </w:tabs>
      <w:spacing w:before="40" w:after="20"/>
      <w:ind w:left="1985" w:firstLine="0"/>
    </w:pPr>
  </w:style>
  <w:style w:type="character" w:customStyle="1" w:styleId="Heading5Char">
    <w:name w:val="Heading 5 Char"/>
    <w:basedOn w:val="DefaultParagraphFont"/>
    <w:link w:val="Heading5"/>
    <w:uiPriority w:val="6"/>
    <w:rsid w:val="00BA1E56"/>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BA1E56"/>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BA1E56"/>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BA1E56"/>
  </w:style>
  <w:style w:type="paragraph" w:styleId="TOCHeading">
    <w:name w:val="TOC Heading"/>
    <w:basedOn w:val="Heading1NoNumber"/>
    <w:next w:val="BodyText"/>
    <w:uiPriority w:val="39"/>
    <w:qFormat/>
    <w:rsid w:val="00BA1E56"/>
    <w:pPr>
      <w:outlineLvl w:val="9"/>
    </w:pPr>
  </w:style>
  <w:style w:type="paragraph" w:customStyle="1" w:styleId="BodyIndent2">
    <w:name w:val="Body Indent 2"/>
    <w:basedOn w:val="BodyBullet2"/>
    <w:uiPriority w:val="3"/>
    <w:qFormat/>
    <w:rsid w:val="00BA1E56"/>
    <w:pPr>
      <w:numPr>
        <w:ilvl w:val="0"/>
        <w:numId w:val="0"/>
      </w:numPr>
      <w:ind w:left="680"/>
    </w:pPr>
  </w:style>
  <w:style w:type="paragraph" w:customStyle="1" w:styleId="BodyIndent3">
    <w:name w:val="Body Indent 3"/>
    <w:basedOn w:val="BodyBullet3"/>
    <w:uiPriority w:val="3"/>
    <w:qFormat/>
    <w:rsid w:val="00BA1E56"/>
    <w:pPr>
      <w:numPr>
        <w:ilvl w:val="0"/>
        <w:numId w:val="0"/>
      </w:numPr>
      <w:ind w:left="1021"/>
    </w:pPr>
  </w:style>
  <w:style w:type="character" w:styleId="EndnoteReference">
    <w:name w:val="endnote reference"/>
    <w:basedOn w:val="DefaultParagraphFont"/>
    <w:uiPriority w:val="99"/>
    <w:qFormat/>
    <w:rsid w:val="00BA1E56"/>
    <w:rPr>
      <w:vertAlign w:val="superscript"/>
    </w:rPr>
  </w:style>
  <w:style w:type="paragraph" w:styleId="ListBullet">
    <w:name w:val="List Bullet"/>
    <w:basedOn w:val="BodyText"/>
    <w:uiPriority w:val="99"/>
    <w:semiHidden/>
    <w:rsid w:val="00BA1E56"/>
    <w:pPr>
      <w:numPr>
        <w:numId w:val="4"/>
      </w:numPr>
      <w:spacing w:before="120"/>
      <w:contextualSpacing/>
    </w:pPr>
  </w:style>
  <w:style w:type="table" w:styleId="TableGrid">
    <w:name w:val="Table Grid"/>
    <w:basedOn w:val="TableNormal"/>
    <w:uiPriority w:val="59"/>
    <w:rsid w:val="00BA1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BA1E56"/>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BA1E56"/>
    <w:pPr>
      <w:numPr>
        <w:ilvl w:val="1"/>
      </w:numPr>
    </w:pPr>
  </w:style>
  <w:style w:type="paragraph" w:customStyle="1" w:styleId="TableText">
    <w:name w:val="Table Text"/>
    <w:basedOn w:val="Normal"/>
    <w:uiPriority w:val="2"/>
    <w:qFormat/>
    <w:rsid w:val="00BA1E5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BA1E56"/>
    <w:pPr>
      <w:spacing w:before="60" w:after="60" w:line="240" w:lineRule="auto"/>
      <w:ind w:left="340" w:hanging="340"/>
    </w:pPr>
    <w:rPr>
      <w:sz w:val="18"/>
      <w:szCs w:val="18"/>
    </w:rPr>
  </w:style>
  <w:style w:type="paragraph" w:styleId="ListBullet3">
    <w:name w:val="List Bullet 3"/>
    <w:basedOn w:val="ListBullet2"/>
    <w:uiPriority w:val="99"/>
    <w:semiHidden/>
    <w:rsid w:val="00BA1E56"/>
    <w:pPr>
      <w:numPr>
        <w:ilvl w:val="2"/>
      </w:numPr>
    </w:pPr>
  </w:style>
  <w:style w:type="character" w:customStyle="1" w:styleId="EndnoteTextChar">
    <w:name w:val="Endnote Text Char"/>
    <w:basedOn w:val="DefaultParagraphFont"/>
    <w:link w:val="EndnoteText"/>
    <w:uiPriority w:val="99"/>
    <w:rsid w:val="00BA1E56"/>
    <w:rPr>
      <w:sz w:val="18"/>
      <w:szCs w:val="18"/>
    </w:rPr>
  </w:style>
  <w:style w:type="paragraph" w:styleId="Footer">
    <w:name w:val="footer"/>
    <w:basedOn w:val="Normal"/>
    <w:link w:val="FooterChar"/>
    <w:uiPriority w:val="99"/>
    <w:qFormat/>
    <w:rsid w:val="00BA1E56"/>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A1E56"/>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BA1E56"/>
    <w:rPr>
      <w:vertAlign w:val="superscript"/>
    </w:rPr>
  </w:style>
  <w:style w:type="paragraph" w:styleId="FootnoteText">
    <w:name w:val="footnote text"/>
    <w:basedOn w:val="Normal"/>
    <w:link w:val="FootnoteTextChar"/>
    <w:uiPriority w:val="99"/>
    <w:qFormat/>
    <w:rsid w:val="00BA1E56"/>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BA1E56"/>
    <w:rPr>
      <w:sz w:val="18"/>
      <w:szCs w:val="18"/>
    </w:rPr>
  </w:style>
  <w:style w:type="paragraph" w:styleId="Header">
    <w:name w:val="header"/>
    <w:basedOn w:val="Normal"/>
    <w:link w:val="HeaderChar"/>
    <w:uiPriority w:val="99"/>
    <w:qFormat/>
    <w:rsid w:val="00BA1E56"/>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BA1E56"/>
    <w:rPr>
      <w:rFonts w:ascii="Century Gothic" w:hAnsi="Century Gothic"/>
      <w:color w:val="1C4483" w:themeColor="accent1"/>
      <w:sz w:val="24"/>
      <w:szCs w:val="18"/>
    </w:rPr>
  </w:style>
  <w:style w:type="character" w:styleId="Hyperlink">
    <w:name w:val="Hyperlink"/>
    <w:basedOn w:val="DefaultParagraphFont"/>
    <w:uiPriority w:val="99"/>
    <w:qFormat/>
    <w:rsid w:val="00BA1E56"/>
    <w:rPr>
      <w:color w:val="7F7F7F" w:themeColor="text1" w:themeTint="80"/>
    </w:rPr>
  </w:style>
  <w:style w:type="paragraph" w:styleId="ListNumber">
    <w:name w:val="List Number"/>
    <w:basedOn w:val="BodyText"/>
    <w:uiPriority w:val="99"/>
    <w:semiHidden/>
    <w:rsid w:val="00BA1E56"/>
    <w:pPr>
      <w:numPr>
        <w:numId w:val="5"/>
      </w:numPr>
      <w:contextualSpacing/>
    </w:pPr>
  </w:style>
  <w:style w:type="paragraph" w:styleId="ListNumber2">
    <w:name w:val="List Number 2"/>
    <w:basedOn w:val="ListNumber"/>
    <w:uiPriority w:val="99"/>
    <w:semiHidden/>
    <w:rsid w:val="00BA1E56"/>
    <w:pPr>
      <w:numPr>
        <w:numId w:val="6"/>
      </w:numPr>
    </w:pPr>
  </w:style>
  <w:style w:type="paragraph" w:styleId="ListNumber3">
    <w:name w:val="List Number 3"/>
    <w:basedOn w:val="List2"/>
    <w:uiPriority w:val="99"/>
    <w:semiHidden/>
    <w:rsid w:val="00BA1E56"/>
    <w:pPr>
      <w:numPr>
        <w:numId w:val="7"/>
      </w:numPr>
    </w:pPr>
  </w:style>
  <w:style w:type="character" w:styleId="PageNumber">
    <w:name w:val="page number"/>
    <w:basedOn w:val="DefaultParagraphFont"/>
    <w:uiPriority w:val="99"/>
    <w:semiHidden/>
    <w:rsid w:val="00BA1E56"/>
  </w:style>
  <w:style w:type="paragraph" w:styleId="List2">
    <w:name w:val="List 2"/>
    <w:basedOn w:val="Normal"/>
    <w:uiPriority w:val="99"/>
    <w:semiHidden/>
    <w:rsid w:val="00BA1E56"/>
    <w:pPr>
      <w:ind w:left="566" w:hanging="283"/>
      <w:contextualSpacing/>
    </w:pPr>
    <w:rPr>
      <w:sz w:val="22"/>
    </w:rPr>
  </w:style>
  <w:style w:type="paragraph" w:styleId="TableofFigures">
    <w:name w:val="table of figures"/>
    <w:basedOn w:val="TOC1"/>
    <w:next w:val="BodyText"/>
    <w:uiPriority w:val="99"/>
    <w:rsid w:val="00BA1E56"/>
    <w:pPr>
      <w:spacing w:before="60"/>
      <w:ind w:left="1134" w:hanging="1134"/>
    </w:pPr>
    <w:rPr>
      <w:color w:val="000000" w:themeColor="text1"/>
    </w:rPr>
  </w:style>
  <w:style w:type="character" w:customStyle="1" w:styleId="Heading7Char">
    <w:name w:val="Heading 7 Char"/>
    <w:basedOn w:val="DefaultParagraphFont"/>
    <w:link w:val="Heading7"/>
    <w:uiPriority w:val="6"/>
    <w:rsid w:val="00BA1E56"/>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BA1E56"/>
    <w:pPr>
      <w:numPr>
        <w:numId w:val="8"/>
      </w:numPr>
    </w:pPr>
  </w:style>
  <w:style w:type="paragraph" w:customStyle="1" w:styleId="TableBullet2">
    <w:name w:val="Table Bullet 2"/>
    <w:basedOn w:val="TableBullet1"/>
    <w:uiPriority w:val="7"/>
    <w:qFormat/>
    <w:rsid w:val="00BA1E56"/>
    <w:pPr>
      <w:numPr>
        <w:ilvl w:val="1"/>
      </w:numPr>
    </w:pPr>
  </w:style>
  <w:style w:type="paragraph" w:customStyle="1" w:styleId="BodyNumbering1">
    <w:name w:val="Body Numbering 1"/>
    <w:basedOn w:val="BodyBullet1"/>
    <w:uiPriority w:val="9"/>
    <w:qFormat/>
    <w:rsid w:val="00BA1E56"/>
    <w:pPr>
      <w:numPr>
        <w:ilvl w:val="6"/>
        <w:numId w:val="13"/>
      </w:numPr>
    </w:pPr>
  </w:style>
  <w:style w:type="paragraph" w:customStyle="1" w:styleId="BodyNumbering2">
    <w:name w:val="Body Numbering 2"/>
    <w:basedOn w:val="BodyNumbering1"/>
    <w:uiPriority w:val="9"/>
    <w:qFormat/>
    <w:rsid w:val="00BA1E56"/>
    <w:pPr>
      <w:numPr>
        <w:ilvl w:val="0"/>
        <w:numId w:val="0"/>
      </w:numPr>
    </w:pPr>
  </w:style>
  <w:style w:type="paragraph" w:customStyle="1" w:styleId="BodyBullet1">
    <w:name w:val="Body Bullet 1"/>
    <w:basedOn w:val="BodyText"/>
    <w:uiPriority w:val="1"/>
    <w:qFormat/>
    <w:rsid w:val="00BA1E56"/>
    <w:pPr>
      <w:numPr>
        <w:numId w:val="2"/>
      </w:numPr>
      <w:spacing w:before="120"/>
    </w:pPr>
  </w:style>
  <w:style w:type="paragraph" w:customStyle="1" w:styleId="BodyBullet2">
    <w:name w:val="Body Bullet 2"/>
    <w:basedOn w:val="BodyBullet1"/>
    <w:uiPriority w:val="1"/>
    <w:qFormat/>
    <w:rsid w:val="00BA1E56"/>
    <w:pPr>
      <w:numPr>
        <w:ilvl w:val="1"/>
      </w:numPr>
    </w:pPr>
  </w:style>
  <w:style w:type="paragraph" w:customStyle="1" w:styleId="BodyBullet3">
    <w:name w:val="Body Bullet 3"/>
    <w:basedOn w:val="BodyBullet2"/>
    <w:uiPriority w:val="1"/>
    <w:qFormat/>
    <w:rsid w:val="00BA1E56"/>
    <w:pPr>
      <w:numPr>
        <w:ilvl w:val="2"/>
      </w:numPr>
    </w:pPr>
  </w:style>
  <w:style w:type="paragraph" w:customStyle="1" w:styleId="BodyNumbering3">
    <w:name w:val="Body Numbering 3"/>
    <w:basedOn w:val="BodyNumbering2"/>
    <w:uiPriority w:val="9"/>
    <w:qFormat/>
    <w:rsid w:val="00BA1E56"/>
    <w:pPr>
      <w:numPr>
        <w:ilvl w:val="8"/>
        <w:numId w:val="13"/>
      </w:numPr>
    </w:pPr>
  </w:style>
  <w:style w:type="paragraph" w:customStyle="1" w:styleId="BodyIndent1">
    <w:name w:val="Body Indent 1"/>
    <w:basedOn w:val="BodyBullet1"/>
    <w:uiPriority w:val="8"/>
    <w:qFormat/>
    <w:rsid w:val="00BA1E56"/>
    <w:pPr>
      <w:numPr>
        <w:numId w:val="0"/>
      </w:numPr>
      <w:ind w:left="340"/>
    </w:pPr>
  </w:style>
  <w:style w:type="paragraph" w:customStyle="1" w:styleId="TableBullet3">
    <w:name w:val="Table Bullet 3"/>
    <w:basedOn w:val="TableBullet2"/>
    <w:uiPriority w:val="7"/>
    <w:qFormat/>
    <w:rsid w:val="00BA1E56"/>
    <w:pPr>
      <w:numPr>
        <w:ilvl w:val="2"/>
      </w:numPr>
    </w:pPr>
  </w:style>
  <w:style w:type="paragraph" w:customStyle="1" w:styleId="TableNumbering1">
    <w:name w:val="Table Numbering 1"/>
    <w:basedOn w:val="TableBullet1"/>
    <w:uiPriority w:val="8"/>
    <w:qFormat/>
    <w:rsid w:val="00BA1E56"/>
    <w:pPr>
      <w:numPr>
        <w:numId w:val="10"/>
      </w:numPr>
    </w:pPr>
  </w:style>
  <w:style w:type="paragraph" w:customStyle="1" w:styleId="TableNumbering2">
    <w:name w:val="Table Numbering 2"/>
    <w:basedOn w:val="TableNumbering1"/>
    <w:uiPriority w:val="8"/>
    <w:qFormat/>
    <w:rsid w:val="00BA1E56"/>
    <w:pPr>
      <w:numPr>
        <w:ilvl w:val="1"/>
      </w:numPr>
    </w:pPr>
  </w:style>
  <w:style w:type="paragraph" w:customStyle="1" w:styleId="TableNumbering3">
    <w:name w:val="Table Numbering 3"/>
    <w:basedOn w:val="TableNumbering2"/>
    <w:uiPriority w:val="8"/>
    <w:qFormat/>
    <w:rsid w:val="00BA1E56"/>
    <w:pPr>
      <w:numPr>
        <w:ilvl w:val="2"/>
      </w:numPr>
    </w:pPr>
  </w:style>
  <w:style w:type="paragraph" w:customStyle="1" w:styleId="TableIndent1">
    <w:name w:val="Table Indent 1"/>
    <w:basedOn w:val="TableBullet1"/>
    <w:uiPriority w:val="9"/>
    <w:qFormat/>
    <w:rsid w:val="00BA1E56"/>
    <w:pPr>
      <w:numPr>
        <w:numId w:val="0"/>
      </w:numPr>
      <w:ind w:left="340"/>
    </w:pPr>
  </w:style>
  <w:style w:type="paragraph" w:customStyle="1" w:styleId="TableIndent2">
    <w:name w:val="Table Indent 2"/>
    <w:basedOn w:val="TableBullet2"/>
    <w:uiPriority w:val="9"/>
    <w:qFormat/>
    <w:rsid w:val="00BA1E56"/>
    <w:pPr>
      <w:numPr>
        <w:ilvl w:val="0"/>
        <w:numId w:val="0"/>
      </w:numPr>
      <w:ind w:left="680"/>
    </w:pPr>
  </w:style>
  <w:style w:type="paragraph" w:customStyle="1" w:styleId="TableIndent3">
    <w:name w:val="Table Indent 3"/>
    <w:basedOn w:val="TableBullet3"/>
    <w:uiPriority w:val="9"/>
    <w:qFormat/>
    <w:rsid w:val="00BA1E56"/>
    <w:pPr>
      <w:numPr>
        <w:ilvl w:val="0"/>
        <w:numId w:val="0"/>
      </w:numPr>
      <w:ind w:left="1021"/>
    </w:pPr>
  </w:style>
  <w:style w:type="table" w:customStyle="1" w:styleId="MainTableStyle">
    <w:name w:val="Main Table Style"/>
    <w:basedOn w:val="TableNormal"/>
    <w:uiPriority w:val="99"/>
    <w:rsid w:val="00BA1E56"/>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BA1E56"/>
    <w:pPr>
      <w:spacing w:before="0" w:after="0"/>
    </w:pPr>
  </w:style>
  <w:style w:type="table" w:customStyle="1" w:styleId="RowMainTableStyle">
    <w:name w:val="Row Main Table Style"/>
    <w:basedOn w:val="TableNormal"/>
    <w:uiPriority w:val="99"/>
    <w:rsid w:val="00BA1E56"/>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BA1E56"/>
    <w:rPr>
      <w:color w:val="1C4483" w:themeColor="accent1"/>
    </w:rPr>
  </w:style>
  <w:style w:type="character" w:customStyle="1" w:styleId="CharacterStyle-BrightColour">
    <w:name w:val="Character Style - Bright Colour"/>
    <w:uiPriority w:val="99"/>
    <w:qFormat/>
    <w:rsid w:val="00BA1E56"/>
    <w:rPr>
      <w:color w:val="00A2E2" w:themeColor="accent2"/>
    </w:rPr>
  </w:style>
  <w:style w:type="paragraph" w:customStyle="1" w:styleId="CoverTitle">
    <w:name w:val="Cover Title"/>
    <w:basedOn w:val="Normal"/>
    <w:next w:val="CoverSubtitle"/>
    <w:uiPriority w:val="99"/>
    <w:qFormat/>
    <w:rsid w:val="00BA1E56"/>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BA1E56"/>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BA1E56"/>
    <w:rPr>
      <w:rFonts w:asciiTheme="majorHAnsi" w:hAnsiTheme="majorHAnsi"/>
      <w:color w:val="1C4483" w:themeColor="accent1"/>
      <w:sz w:val="48"/>
      <w:szCs w:val="48"/>
    </w:rPr>
  </w:style>
  <w:style w:type="paragraph" w:customStyle="1" w:styleId="Spacer">
    <w:name w:val="Spacer"/>
    <w:basedOn w:val="BodyTextSingleSpacing"/>
    <w:uiPriority w:val="99"/>
    <w:qFormat/>
    <w:rsid w:val="00BA1E56"/>
  </w:style>
  <w:style w:type="paragraph" w:styleId="BalloonText">
    <w:name w:val="Balloon Text"/>
    <w:basedOn w:val="Normal"/>
    <w:link w:val="BalloonTextChar"/>
    <w:uiPriority w:val="99"/>
    <w:semiHidden/>
    <w:rsid w:val="00BA1E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E56"/>
    <w:rPr>
      <w:rFonts w:ascii="Tahoma" w:hAnsi="Tahoma" w:cs="Tahoma"/>
      <w:sz w:val="16"/>
      <w:szCs w:val="16"/>
    </w:rPr>
  </w:style>
  <w:style w:type="paragraph" w:customStyle="1" w:styleId="Heading1NoNumber">
    <w:name w:val="Heading 1 No Number"/>
    <w:basedOn w:val="Heading1"/>
    <w:next w:val="BodyText"/>
    <w:uiPriority w:val="10"/>
    <w:qFormat/>
    <w:rsid w:val="00BA1E56"/>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BA1E56"/>
    <w:pPr>
      <w:pageBreakBefore/>
      <w:spacing w:after="720"/>
    </w:pPr>
  </w:style>
  <w:style w:type="character" w:customStyle="1" w:styleId="DateChar">
    <w:name w:val="Date Char"/>
    <w:basedOn w:val="DefaultParagraphFont"/>
    <w:link w:val="Date"/>
    <w:uiPriority w:val="99"/>
    <w:semiHidden/>
    <w:rsid w:val="00BA1E56"/>
    <w:rPr>
      <w:sz w:val="20"/>
    </w:rPr>
  </w:style>
  <w:style w:type="paragraph" w:styleId="Signature">
    <w:name w:val="Signature"/>
    <w:basedOn w:val="BodyText"/>
    <w:next w:val="BodyTextSingleSpacing"/>
    <w:link w:val="SignatureChar"/>
    <w:uiPriority w:val="99"/>
    <w:semiHidden/>
    <w:rsid w:val="00BA1E56"/>
    <w:pPr>
      <w:keepNext/>
      <w:spacing w:before="360" w:after="360"/>
    </w:pPr>
  </w:style>
  <w:style w:type="character" w:customStyle="1" w:styleId="SignatureChar">
    <w:name w:val="Signature Char"/>
    <w:basedOn w:val="DefaultParagraphFont"/>
    <w:link w:val="Signature"/>
    <w:uiPriority w:val="99"/>
    <w:semiHidden/>
    <w:rsid w:val="00BA1E56"/>
    <w:rPr>
      <w:sz w:val="20"/>
    </w:rPr>
  </w:style>
  <w:style w:type="paragraph" w:customStyle="1" w:styleId="SubjectLine">
    <w:name w:val="Subject Line"/>
    <w:basedOn w:val="BodyText"/>
    <w:next w:val="BodyText"/>
    <w:semiHidden/>
    <w:rsid w:val="00BA1E56"/>
    <w:rPr>
      <w:b/>
      <w:caps/>
    </w:rPr>
  </w:style>
  <w:style w:type="paragraph" w:customStyle="1" w:styleId="Yourssincerely">
    <w:name w:val="Yours sincerely"/>
    <w:basedOn w:val="BodyText"/>
    <w:next w:val="Signature"/>
    <w:uiPriority w:val="99"/>
    <w:semiHidden/>
    <w:rsid w:val="00BA1E56"/>
    <w:pPr>
      <w:keepNext/>
    </w:pPr>
  </w:style>
  <w:style w:type="paragraph" w:customStyle="1" w:styleId="Disclaimer">
    <w:name w:val="Disclaimer"/>
    <w:basedOn w:val="Normal"/>
    <w:next w:val="BodyText"/>
    <w:semiHidden/>
    <w:rsid w:val="00BA1E56"/>
    <w:pPr>
      <w:spacing w:before="3000" w:line="240" w:lineRule="auto"/>
    </w:pPr>
    <w:rPr>
      <w:sz w:val="16"/>
      <w:szCs w:val="16"/>
    </w:rPr>
  </w:style>
  <w:style w:type="paragraph" w:styleId="TableofAuthorities">
    <w:name w:val="table of authorities"/>
    <w:basedOn w:val="TableofFigures"/>
    <w:next w:val="BodyText"/>
    <w:uiPriority w:val="99"/>
    <w:semiHidden/>
    <w:rsid w:val="00BA1E56"/>
  </w:style>
  <w:style w:type="paragraph" w:customStyle="1" w:styleId="CitationText">
    <w:name w:val="Citation Text"/>
    <w:basedOn w:val="BodyText"/>
    <w:uiPriority w:val="99"/>
    <w:qFormat/>
    <w:rsid w:val="00BA1E56"/>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BA1E56"/>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BA1E56"/>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BA1E56"/>
    <w:pPr>
      <w:spacing w:after="360" w:line="240" w:lineRule="auto"/>
    </w:pPr>
    <w:rPr>
      <w:color w:val="000000" w:themeColor="text1"/>
    </w:rPr>
  </w:style>
  <w:style w:type="character" w:styleId="PlaceholderText">
    <w:name w:val="Placeholder Text"/>
    <w:basedOn w:val="DefaultParagraphFont"/>
    <w:uiPriority w:val="99"/>
    <w:rsid w:val="00BA1E56"/>
    <w:rPr>
      <w:vanish w:val="0"/>
      <w:color w:val="7F7F7F" w:themeColor="text1" w:themeTint="80"/>
    </w:rPr>
  </w:style>
  <w:style w:type="paragraph" w:styleId="Quote">
    <w:name w:val="Quote"/>
    <w:basedOn w:val="BodyText"/>
    <w:next w:val="BodyText"/>
    <w:link w:val="QuoteChar"/>
    <w:uiPriority w:val="99"/>
    <w:qFormat/>
    <w:rsid w:val="00BA1E56"/>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BA1E56"/>
    <w:rPr>
      <w:rFonts w:asciiTheme="majorHAnsi" w:hAnsiTheme="majorHAnsi"/>
      <w:i/>
      <w:iCs/>
      <w:color w:val="00A2E2" w:themeColor="accent2"/>
      <w:sz w:val="18"/>
    </w:rPr>
  </w:style>
  <w:style w:type="paragraph" w:customStyle="1" w:styleId="PageNo">
    <w:name w:val="Page No"/>
    <w:basedOn w:val="Normal"/>
    <w:link w:val="PageNoChar"/>
    <w:uiPriority w:val="99"/>
    <w:qFormat/>
    <w:rsid w:val="00BA1E56"/>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BA1E56"/>
    <w:rPr>
      <w:color w:val="FFFFFF" w:themeColor="background1"/>
    </w:rPr>
  </w:style>
  <w:style w:type="character" w:customStyle="1" w:styleId="PageNoChar">
    <w:name w:val="Page No Char"/>
    <w:basedOn w:val="FooterChar"/>
    <w:link w:val="PageNo"/>
    <w:uiPriority w:val="99"/>
    <w:rsid w:val="00BA1E56"/>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BA1E56"/>
    <w:rPr>
      <w:color w:val="808080" w:themeColor="background1" w:themeShade="80"/>
      <w:spacing w:val="20"/>
    </w:rPr>
  </w:style>
  <w:style w:type="character" w:customStyle="1" w:styleId="Highlight">
    <w:name w:val="_Highlight"/>
    <w:basedOn w:val="DefaultParagraphFont"/>
    <w:uiPriority w:val="4"/>
    <w:qFormat/>
    <w:rsid w:val="00BA1E56"/>
    <w:rPr>
      <w:bdr w:val="none" w:sz="0" w:space="0" w:color="auto"/>
      <w:shd w:val="clear" w:color="auto" w:fill="FFFF00"/>
    </w:rPr>
  </w:style>
  <w:style w:type="paragraph" w:customStyle="1" w:styleId="Heading1ChapterNumber">
    <w:name w:val="Heading 1 Chapter Number"/>
    <w:basedOn w:val="Heading1"/>
    <w:next w:val="Heading1"/>
    <w:uiPriority w:val="99"/>
    <w:qFormat/>
    <w:rsid w:val="00BA1E56"/>
    <w:pPr>
      <w:numPr>
        <w:numId w:val="0"/>
      </w:numPr>
      <w:tabs>
        <w:tab w:val="clear" w:pos="0"/>
      </w:tabs>
      <w:spacing w:before="600" w:after="0"/>
    </w:pPr>
    <w:rPr>
      <w:b w:val="0"/>
    </w:rPr>
  </w:style>
  <w:style w:type="paragraph" w:customStyle="1" w:styleId="Chapterimage">
    <w:name w:val="Chapter image"/>
    <w:basedOn w:val="BodyText"/>
    <w:uiPriority w:val="99"/>
    <w:qFormat/>
    <w:rsid w:val="00BA1E56"/>
    <w:pPr>
      <w:spacing w:before="0" w:after="2800" w:line="240" w:lineRule="auto"/>
    </w:pPr>
    <w:rPr>
      <w:noProof/>
    </w:rPr>
  </w:style>
  <w:style w:type="character" w:customStyle="1" w:styleId="Removedirectformatting">
    <w:name w:val="_ Remove direct formatting"/>
    <w:basedOn w:val="Highlight"/>
    <w:uiPriority w:val="5"/>
    <w:qFormat/>
    <w:rsid w:val="00BA1E56"/>
    <w:rPr>
      <w:bdr w:val="none" w:sz="0" w:space="0" w:color="auto"/>
      <w:shd w:val="clear" w:color="auto" w:fill="auto"/>
    </w:rPr>
  </w:style>
  <w:style w:type="character" w:customStyle="1" w:styleId="Underline">
    <w:name w:val="_ Underline"/>
    <w:basedOn w:val="DefaultParagraphFont"/>
    <w:uiPriority w:val="9"/>
    <w:qFormat/>
    <w:rsid w:val="00BA1E56"/>
    <w:rPr>
      <w:u w:val="single"/>
    </w:rPr>
  </w:style>
  <w:style w:type="character" w:customStyle="1" w:styleId="Bold">
    <w:name w:val="_Bold"/>
    <w:basedOn w:val="DefaultParagraphFont"/>
    <w:uiPriority w:val="4"/>
    <w:qFormat/>
    <w:rsid w:val="00BA1E56"/>
    <w:rPr>
      <w:b/>
    </w:rPr>
  </w:style>
  <w:style w:type="character" w:customStyle="1" w:styleId="HighlightBlue">
    <w:name w:val="_Highlight_Blue"/>
    <w:basedOn w:val="DefaultParagraphFont"/>
    <w:uiPriority w:val="8"/>
    <w:qFormat/>
    <w:rsid w:val="00BA1E56"/>
    <w:rPr>
      <w:bdr w:val="none" w:sz="0" w:space="0" w:color="auto"/>
      <w:shd w:val="clear" w:color="auto" w:fill="CCFFFF"/>
    </w:rPr>
  </w:style>
  <w:style w:type="character" w:customStyle="1" w:styleId="Italics">
    <w:name w:val="_Italics"/>
    <w:basedOn w:val="DefaultParagraphFont"/>
    <w:uiPriority w:val="4"/>
    <w:qFormat/>
    <w:rsid w:val="00BA1E56"/>
    <w:rPr>
      <w:b w:val="0"/>
      <w:i/>
    </w:rPr>
  </w:style>
  <w:style w:type="character" w:customStyle="1" w:styleId="Strikethrough">
    <w:name w:val="_Strikethrough"/>
    <w:basedOn w:val="DefaultParagraphFont"/>
    <w:uiPriority w:val="9"/>
    <w:qFormat/>
    <w:rsid w:val="00BA1E56"/>
    <w:rPr>
      <w:strike/>
      <w:dstrike w:val="0"/>
    </w:rPr>
  </w:style>
  <w:style w:type="character" w:customStyle="1" w:styleId="Subscript">
    <w:name w:val="_Subscript"/>
    <w:basedOn w:val="DefaultParagraphFont"/>
    <w:uiPriority w:val="9"/>
    <w:qFormat/>
    <w:rsid w:val="00BA1E56"/>
    <w:rPr>
      <w:vertAlign w:val="subscript"/>
    </w:rPr>
  </w:style>
  <w:style w:type="character" w:customStyle="1" w:styleId="Superscript">
    <w:name w:val="_Superscript"/>
    <w:basedOn w:val="Subscript"/>
    <w:uiPriority w:val="9"/>
    <w:qFormat/>
    <w:rsid w:val="00BA1E56"/>
    <w:rPr>
      <w:vertAlign w:val="superscript"/>
    </w:rPr>
  </w:style>
  <w:style w:type="character" w:customStyle="1" w:styleId="TextBlue">
    <w:name w:val="_Text Blue"/>
    <w:basedOn w:val="DefaultParagraphFont"/>
    <w:uiPriority w:val="8"/>
    <w:qFormat/>
    <w:rsid w:val="00BA1E56"/>
    <w:rPr>
      <w:color w:val="1C4483" w:themeColor="accent1"/>
    </w:rPr>
  </w:style>
  <w:style w:type="character" w:customStyle="1" w:styleId="TextGreen">
    <w:name w:val="_Text Green"/>
    <w:uiPriority w:val="9"/>
    <w:qFormat/>
    <w:rsid w:val="00BA1E56"/>
    <w:rPr>
      <w:color w:val="00A67F" w:themeColor="accent4"/>
    </w:rPr>
  </w:style>
  <w:style w:type="character" w:customStyle="1" w:styleId="TextRed">
    <w:name w:val="_Text Red"/>
    <w:basedOn w:val="DefaultParagraphFont"/>
    <w:uiPriority w:val="9"/>
    <w:qFormat/>
    <w:rsid w:val="00BA1E56"/>
    <w:rPr>
      <w:color w:val="C8102E" w:themeColor="accent3"/>
    </w:rPr>
  </w:style>
  <w:style w:type="paragraph" w:customStyle="1" w:styleId="AppendixHeading1">
    <w:name w:val="Appendix Heading 1"/>
    <w:basedOn w:val="Heading1"/>
    <w:next w:val="BodyText"/>
    <w:uiPriority w:val="6"/>
    <w:qFormat/>
    <w:rsid w:val="00BA1E56"/>
    <w:pPr>
      <w:pageBreakBefore/>
      <w:numPr>
        <w:numId w:val="1"/>
      </w:numPr>
      <w:spacing w:after="120"/>
      <w:ind w:left="2268" w:hanging="2268"/>
    </w:pPr>
    <w:rPr>
      <w:b w:val="0"/>
      <w:color w:val="1C4483" w:themeColor="accent1"/>
      <w:sz w:val="32"/>
    </w:rPr>
  </w:style>
  <w:style w:type="paragraph" w:customStyle="1" w:styleId="AppendixHeading2">
    <w:name w:val="Appendix Heading 2"/>
    <w:basedOn w:val="Heading2"/>
    <w:next w:val="BodyText"/>
    <w:uiPriority w:val="6"/>
    <w:qFormat/>
    <w:rsid w:val="00BA1E56"/>
    <w:pPr>
      <w:numPr>
        <w:numId w:val="1"/>
      </w:numPr>
      <w:spacing w:before="240" w:after="120"/>
    </w:pPr>
    <w:rPr>
      <w:spacing w:val="0"/>
      <w:sz w:val="28"/>
    </w:rPr>
  </w:style>
  <w:style w:type="paragraph" w:customStyle="1" w:styleId="AppendixHeading3">
    <w:name w:val="Appendix Heading 3"/>
    <w:basedOn w:val="Heading3"/>
    <w:next w:val="BodyText"/>
    <w:uiPriority w:val="8"/>
    <w:qFormat/>
    <w:rsid w:val="00BA1E56"/>
    <w:pPr>
      <w:numPr>
        <w:numId w:val="1"/>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BA1E56"/>
    <w:pPr>
      <w:numPr>
        <w:ilvl w:val="0"/>
        <w:numId w:val="0"/>
      </w:numPr>
    </w:pPr>
  </w:style>
  <w:style w:type="paragraph" w:customStyle="1" w:styleId="Heading3NoNumber">
    <w:name w:val="Heading 3 No Number"/>
    <w:basedOn w:val="Heading3"/>
    <w:next w:val="BodyText"/>
    <w:uiPriority w:val="99"/>
    <w:qFormat/>
    <w:rsid w:val="00BA1E56"/>
    <w:pPr>
      <w:numPr>
        <w:ilvl w:val="0"/>
        <w:numId w:val="0"/>
      </w:numPr>
    </w:pPr>
  </w:style>
  <w:style w:type="paragraph" w:customStyle="1" w:styleId="TableHeadingWhiteCentred">
    <w:name w:val="Table Heading White Centred"/>
    <w:basedOn w:val="TableHeadingWhiteFont"/>
    <w:uiPriority w:val="99"/>
    <w:qFormat/>
    <w:rsid w:val="00BA1E56"/>
    <w:pPr>
      <w:jc w:val="center"/>
    </w:pPr>
  </w:style>
  <w:style w:type="paragraph" w:customStyle="1" w:styleId="CalloutHeader">
    <w:name w:val="Callout Header"/>
    <w:basedOn w:val="TableText"/>
    <w:uiPriority w:val="9"/>
    <w:qFormat/>
    <w:rsid w:val="00BA1E56"/>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BA1E56"/>
    <w:pPr>
      <w:pBdr>
        <w:bottom w:val="single" w:sz="4" w:space="31" w:color="1C4483" w:themeColor="accent1"/>
      </w:pBdr>
      <w:spacing w:after="600"/>
    </w:pPr>
  </w:style>
  <w:style w:type="paragraph" w:styleId="BodyTextIndent2">
    <w:name w:val="Body Text Indent 2"/>
    <w:basedOn w:val="Normal"/>
    <w:link w:val="BodyTextIndent2Char"/>
    <w:uiPriority w:val="99"/>
    <w:semiHidden/>
    <w:unhideWhenUsed/>
    <w:rsid w:val="00D61D7B"/>
    <w:pPr>
      <w:spacing w:line="480" w:lineRule="auto"/>
      <w:ind w:left="283"/>
    </w:pPr>
  </w:style>
  <w:style w:type="character" w:customStyle="1" w:styleId="BodyTextIndent2Char">
    <w:name w:val="Body Text Indent 2 Char"/>
    <w:basedOn w:val="DefaultParagraphFont"/>
    <w:link w:val="BodyTextIndent2"/>
    <w:uiPriority w:val="99"/>
    <w:semiHidden/>
    <w:rsid w:val="00D61D7B"/>
    <w:rPr>
      <w:sz w:val="20"/>
    </w:rPr>
  </w:style>
  <w:style w:type="paragraph" w:styleId="CommentText">
    <w:name w:val="annotation text"/>
    <w:basedOn w:val="Normal"/>
    <w:link w:val="CommentTextChar"/>
    <w:uiPriority w:val="99"/>
    <w:unhideWhenUsed/>
    <w:rsid w:val="00D61D7B"/>
    <w:pPr>
      <w:spacing w:before="160" w:after="0" w:line="240" w:lineRule="auto"/>
    </w:pPr>
    <w:rPr>
      <w:rFonts w:ascii="Century Gothic" w:eastAsia="Times New Roman" w:hAnsi="Century Gothic" w:cs="Times New Roman"/>
      <w:szCs w:val="20"/>
      <w:lang w:eastAsia="en-AU"/>
    </w:rPr>
  </w:style>
  <w:style w:type="character" w:customStyle="1" w:styleId="CommentTextChar">
    <w:name w:val="Comment Text Char"/>
    <w:basedOn w:val="DefaultParagraphFont"/>
    <w:link w:val="CommentText"/>
    <w:rsid w:val="00D61D7B"/>
    <w:rPr>
      <w:rFonts w:ascii="Century Gothic" w:eastAsia="Times New Roman" w:hAnsi="Century Gothic" w:cs="Times New Roman"/>
      <w:sz w:val="20"/>
      <w:szCs w:val="20"/>
      <w:lang w:eastAsia="en-AU"/>
    </w:rPr>
  </w:style>
  <w:style w:type="character" w:styleId="CommentReference">
    <w:name w:val="annotation reference"/>
    <w:basedOn w:val="DefaultParagraphFont"/>
    <w:uiPriority w:val="99"/>
    <w:semiHidden/>
    <w:unhideWhenUsed/>
    <w:rsid w:val="00F94C82"/>
    <w:rPr>
      <w:sz w:val="16"/>
      <w:szCs w:val="16"/>
    </w:rPr>
  </w:style>
  <w:style w:type="paragraph" w:styleId="CommentSubject">
    <w:name w:val="annotation subject"/>
    <w:basedOn w:val="CommentText"/>
    <w:next w:val="CommentText"/>
    <w:link w:val="CommentSubjectChar"/>
    <w:uiPriority w:val="99"/>
    <w:semiHidden/>
    <w:unhideWhenUsed/>
    <w:rsid w:val="00F94C82"/>
    <w:pPr>
      <w:spacing w:before="240" w:after="12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94C82"/>
    <w:rPr>
      <w:rFonts w:ascii="Century Gothic" w:eastAsia="Times New Roman" w:hAnsi="Century Gothic" w:cs="Times New Roman"/>
      <w:b/>
      <w:bCs/>
      <w:sz w:val="20"/>
      <w:szCs w:val="20"/>
      <w:lang w:eastAsia="en-AU"/>
    </w:rPr>
  </w:style>
  <w:style w:type="paragraph" w:styleId="Revision">
    <w:name w:val="Revision"/>
    <w:hidden/>
    <w:uiPriority w:val="99"/>
    <w:semiHidden/>
    <w:rsid w:val="00A20922"/>
    <w:pPr>
      <w:spacing w:after="0" w:line="240" w:lineRule="auto"/>
    </w:pPr>
    <w:rPr>
      <w:sz w:val="20"/>
    </w:rPr>
  </w:style>
  <w:style w:type="character" w:styleId="UnresolvedMention">
    <w:name w:val="Unresolved Mention"/>
    <w:basedOn w:val="DefaultParagraphFont"/>
    <w:uiPriority w:val="99"/>
    <w:semiHidden/>
    <w:unhideWhenUsed/>
    <w:rsid w:val="00A34C37"/>
    <w:rPr>
      <w:color w:val="605E5C"/>
      <w:shd w:val="clear" w:color="auto" w:fill="E1DFDD"/>
    </w:rPr>
  </w:style>
  <w:style w:type="character" w:styleId="Emphasis">
    <w:name w:val="Emphasis"/>
    <w:basedOn w:val="DefaultParagraphFont"/>
    <w:uiPriority w:val="20"/>
    <w:qFormat/>
    <w:rsid w:val="007843B9"/>
    <w:rPr>
      <w:rFonts w:ascii="inherit" w:hAnsi="inherit" w:hint="default"/>
      <w:i/>
      <w:iCs/>
      <w:sz w:val="24"/>
      <w:szCs w:val="24"/>
      <w:bdr w:val="none" w:sz="0" w:space="0" w:color="auto" w:frame="1"/>
      <w:vertAlign w:val="baseline"/>
    </w:rPr>
  </w:style>
  <w:style w:type="character" w:styleId="FollowedHyperlink">
    <w:name w:val="FollowedHyperlink"/>
    <w:basedOn w:val="DefaultParagraphFont"/>
    <w:uiPriority w:val="99"/>
    <w:semiHidden/>
    <w:unhideWhenUsed/>
    <w:rsid w:val="00965C5B"/>
    <w:rPr>
      <w:color w:val="422D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998">
      <w:bodyDiv w:val="1"/>
      <w:marLeft w:val="0"/>
      <w:marRight w:val="0"/>
      <w:marTop w:val="0"/>
      <w:marBottom w:val="0"/>
      <w:divBdr>
        <w:top w:val="none" w:sz="0" w:space="0" w:color="auto"/>
        <w:left w:val="none" w:sz="0" w:space="0" w:color="auto"/>
        <w:bottom w:val="none" w:sz="0" w:space="0" w:color="auto"/>
        <w:right w:val="none" w:sz="0" w:space="0" w:color="auto"/>
      </w:divBdr>
    </w:div>
    <w:div w:id="272782397">
      <w:bodyDiv w:val="1"/>
      <w:marLeft w:val="0"/>
      <w:marRight w:val="0"/>
      <w:marTop w:val="0"/>
      <w:marBottom w:val="0"/>
      <w:divBdr>
        <w:top w:val="none" w:sz="0" w:space="0" w:color="auto"/>
        <w:left w:val="none" w:sz="0" w:space="0" w:color="auto"/>
        <w:bottom w:val="none" w:sz="0" w:space="0" w:color="auto"/>
        <w:right w:val="none" w:sz="0" w:space="0" w:color="auto"/>
      </w:divBdr>
    </w:div>
    <w:div w:id="277221911">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59167593">
      <w:bodyDiv w:val="1"/>
      <w:marLeft w:val="0"/>
      <w:marRight w:val="0"/>
      <w:marTop w:val="0"/>
      <w:marBottom w:val="0"/>
      <w:divBdr>
        <w:top w:val="none" w:sz="0" w:space="0" w:color="auto"/>
        <w:left w:val="none" w:sz="0" w:space="0" w:color="auto"/>
        <w:bottom w:val="none" w:sz="0" w:space="0" w:color="auto"/>
        <w:right w:val="none" w:sz="0" w:space="0" w:color="auto"/>
      </w:divBdr>
    </w:div>
    <w:div w:id="457262153">
      <w:bodyDiv w:val="1"/>
      <w:marLeft w:val="0"/>
      <w:marRight w:val="0"/>
      <w:marTop w:val="0"/>
      <w:marBottom w:val="0"/>
      <w:divBdr>
        <w:top w:val="none" w:sz="0" w:space="0" w:color="auto"/>
        <w:left w:val="none" w:sz="0" w:space="0" w:color="auto"/>
        <w:bottom w:val="none" w:sz="0" w:space="0" w:color="auto"/>
        <w:right w:val="none" w:sz="0" w:space="0" w:color="auto"/>
      </w:divBdr>
    </w:div>
    <w:div w:id="463889704">
      <w:bodyDiv w:val="1"/>
      <w:marLeft w:val="0"/>
      <w:marRight w:val="0"/>
      <w:marTop w:val="0"/>
      <w:marBottom w:val="0"/>
      <w:divBdr>
        <w:top w:val="none" w:sz="0" w:space="0" w:color="auto"/>
        <w:left w:val="none" w:sz="0" w:space="0" w:color="auto"/>
        <w:bottom w:val="none" w:sz="0" w:space="0" w:color="auto"/>
        <w:right w:val="none" w:sz="0" w:space="0" w:color="auto"/>
      </w:divBdr>
    </w:div>
    <w:div w:id="47961434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09624664">
      <w:bodyDiv w:val="1"/>
      <w:marLeft w:val="0"/>
      <w:marRight w:val="0"/>
      <w:marTop w:val="0"/>
      <w:marBottom w:val="0"/>
      <w:divBdr>
        <w:top w:val="none" w:sz="0" w:space="0" w:color="auto"/>
        <w:left w:val="none" w:sz="0" w:space="0" w:color="auto"/>
        <w:bottom w:val="none" w:sz="0" w:space="0" w:color="auto"/>
        <w:right w:val="none" w:sz="0" w:space="0" w:color="auto"/>
      </w:divBdr>
    </w:div>
    <w:div w:id="644745406">
      <w:bodyDiv w:val="1"/>
      <w:marLeft w:val="0"/>
      <w:marRight w:val="0"/>
      <w:marTop w:val="0"/>
      <w:marBottom w:val="0"/>
      <w:divBdr>
        <w:top w:val="none" w:sz="0" w:space="0" w:color="auto"/>
        <w:left w:val="none" w:sz="0" w:space="0" w:color="auto"/>
        <w:bottom w:val="none" w:sz="0" w:space="0" w:color="auto"/>
        <w:right w:val="none" w:sz="0" w:space="0" w:color="auto"/>
      </w:divBdr>
    </w:div>
    <w:div w:id="741175878">
      <w:bodyDiv w:val="1"/>
      <w:marLeft w:val="0"/>
      <w:marRight w:val="0"/>
      <w:marTop w:val="0"/>
      <w:marBottom w:val="0"/>
      <w:divBdr>
        <w:top w:val="none" w:sz="0" w:space="0" w:color="auto"/>
        <w:left w:val="none" w:sz="0" w:space="0" w:color="auto"/>
        <w:bottom w:val="none" w:sz="0" w:space="0" w:color="auto"/>
        <w:right w:val="none" w:sz="0" w:space="0" w:color="auto"/>
      </w:divBdr>
    </w:div>
    <w:div w:id="851646200">
      <w:bodyDiv w:val="1"/>
      <w:marLeft w:val="0"/>
      <w:marRight w:val="0"/>
      <w:marTop w:val="0"/>
      <w:marBottom w:val="0"/>
      <w:divBdr>
        <w:top w:val="none" w:sz="0" w:space="0" w:color="auto"/>
        <w:left w:val="none" w:sz="0" w:space="0" w:color="auto"/>
        <w:bottom w:val="none" w:sz="0" w:space="0" w:color="auto"/>
        <w:right w:val="none" w:sz="0" w:space="0" w:color="auto"/>
      </w:divBdr>
    </w:div>
    <w:div w:id="895820307">
      <w:bodyDiv w:val="1"/>
      <w:marLeft w:val="0"/>
      <w:marRight w:val="0"/>
      <w:marTop w:val="0"/>
      <w:marBottom w:val="0"/>
      <w:divBdr>
        <w:top w:val="none" w:sz="0" w:space="0" w:color="auto"/>
        <w:left w:val="none" w:sz="0" w:space="0" w:color="auto"/>
        <w:bottom w:val="none" w:sz="0" w:space="0" w:color="auto"/>
        <w:right w:val="none" w:sz="0" w:space="0" w:color="auto"/>
      </w:divBdr>
    </w:div>
    <w:div w:id="897588831">
      <w:bodyDiv w:val="1"/>
      <w:marLeft w:val="0"/>
      <w:marRight w:val="0"/>
      <w:marTop w:val="0"/>
      <w:marBottom w:val="0"/>
      <w:divBdr>
        <w:top w:val="none" w:sz="0" w:space="0" w:color="auto"/>
        <w:left w:val="none" w:sz="0" w:space="0" w:color="auto"/>
        <w:bottom w:val="none" w:sz="0" w:space="0" w:color="auto"/>
        <w:right w:val="none" w:sz="0" w:space="0" w:color="auto"/>
      </w:divBdr>
    </w:div>
    <w:div w:id="929587474">
      <w:bodyDiv w:val="1"/>
      <w:marLeft w:val="0"/>
      <w:marRight w:val="0"/>
      <w:marTop w:val="0"/>
      <w:marBottom w:val="0"/>
      <w:divBdr>
        <w:top w:val="none" w:sz="0" w:space="0" w:color="auto"/>
        <w:left w:val="none" w:sz="0" w:space="0" w:color="auto"/>
        <w:bottom w:val="none" w:sz="0" w:space="0" w:color="auto"/>
        <w:right w:val="none" w:sz="0" w:space="0" w:color="auto"/>
      </w:divBdr>
    </w:div>
    <w:div w:id="1130632216">
      <w:bodyDiv w:val="1"/>
      <w:marLeft w:val="0"/>
      <w:marRight w:val="0"/>
      <w:marTop w:val="0"/>
      <w:marBottom w:val="0"/>
      <w:divBdr>
        <w:top w:val="none" w:sz="0" w:space="0" w:color="auto"/>
        <w:left w:val="none" w:sz="0" w:space="0" w:color="auto"/>
        <w:bottom w:val="none" w:sz="0" w:space="0" w:color="auto"/>
        <w:right w:val="none" w:sz="0" w:space="0" w:color="auto"/>
      </w:divBdr>
    </w:div>
    <w:div w:id="1276869904">
      <w:bodyDiv w:val="1"/>
      <w:marLeft w:val="0"/>
      <w:marRight w:val="0"/>
      <w:marTop w:val="0"/>
      <w:marBottom w:val="0"/>
      <w:divBdr>
        <w:top w:val="none" w:sz="0" w:space="0" w:color="auto"/>
        <w:left w:val="none" w:sz="0" w:space="0" w:color="auto"/>
        <w:bottom w:val="none" w:sz="0" w:space="0" w:color="auto"/>
        <w:right w:val="none" w:sz="0" w:space="0" w:color="auto"/>
      </w:divBdr>
    </w:div>
    <w:div w:id="1290012981">
      <w:bodyDiv w:val="1"/>
      <w:marLeft w:val="0"/>
      <w:marRight w:val="0"/>
      <w:marTop w:val="0"/>
      <w:marBottom w:val="0"/>
      <w:divBdr>
        <w:top w:val="none" w:sz="0" w:space="0" w:color="auto"/>
        <w:left w:val="none" w:sz="0" w:space="0" w:color="auto"/>
        <w:bottom w:val="none" w:sz="0" w:space="0" w:color="auto"/>
        <w:right w:val="none" w:sz="0" w:space="0" w:color="auto"/>
      </w:divBdr>
    </w:div>
    <w:div w:id="1498227661">
      <w:bodyDiv w:val="1"/>
      <w:marLeft w:val="0"/>
      <w:marRight w:val="0"/>
      <w:marTop w:val="0"/>
      <w:marBottom w:val="0"/>
      <w:divBdr>
        <w:top w:val="none" w:sz="0" w:space="0" w:color="auto"/>
        <w:left w:val="none" w:sz="0" w:space="0" w:color="auto"/>
        <w:bottom w:val="none" w:sz="0" w:space="0" w:color="auto"/>
        <w:right w:val="none" w:sz="0" w:space="0" w:color="auto"/>
      </w:divBdr>
    </w:div>
    <w:div w:id="1565721691">
      <w:bodyDiv w:val="1"/>
      <w:marLeft w:val="0"/>
      <w:marRight w:val="0"/>
      <w:marTop w:val="0"/>
      <w:marBottom w:val="0"/>
      <w:divBdr>
        <w:top w:val="none" w:sz="0" w:space="0" w:color="auto"/>
        <w:left w:val="none" w:sz="0" w:space="0" w:color="auto"/>
        <w:bottom w:val="none" w:sz="0" w:space="0" w:color="auto"/>
        <w:right w:val="none" w:sz="0" w:space="0" w:color="auto"/>
      </w:divBdr>
    </w:div>
    <w:div w:id="1727950059">
      <w:bodyDiv w:val="1"/>
      <w:marLeft w:val="0"/>
      <w:marRight w:val="0"/>
      <w:marTop w:val="0"/>
      <w:marBottom w:val="0"/>
      <w:divBdr>
        <w:top w:val="none" w:sz="0" w:space="0" w:color="auto"/>
        <w:left w:val="none" w:sz="0" w:space="0" w:color="auto"/>
        <w:bottom w:val="none" w:sz="0" w:space="0" w:color="auto"/>
        <w:right w:val="none" w:sz="0" w:space="0" w:color="auto"/>
      </w:divBdr>
    </w:div>
    <w:div w:id="1781140560">
      <w:bodyDiv w:val="1"/>
      <w:marLeft w:val="0"/>
      <w:marRight w:val="0"/>
      <w:marTop w:val="0"/>
      <w:marBottom w:val="0"/>
      <w:divBdr>
        <w:top w:val="none" w:sz="0" w:space="0" w:color="auto"/>
        <w:left w:val="none" w:sz="0" w:space="0" w:color="auto"/>
        <w:bottom w:val="none" w:sz="0" w:space="0" w:color="auto"/>
        <w:right w:val="none" w:sz="0" w:space="0" w:color="auto"/>
      </w:divBdr>
    </w:div>
    <w:div w:id="1791048867">
      <w:bodyDiv w:val="1"/>
      <w:marLeft w:val="0"/>
      <w:marRight w:val="0"/>
      <w:marTop w:val="0"/>
      <w:marBottom w:val="0"/>
      <w:divBdr>
        <w:top w:val="none" w:sz="0" w:space="0" w:color="auto"/>
        <w:left w:val="none" w:sz="0" w:space="0" w:color="auto"/>
        <w:bottom w:val="none" w:sz="0" w:space="0" w:color="auto"/>
        <w:right w:val="none" w:sz="0" w:space="0" w:color="auto"/>
      </w:divBdr>
    </w:div>
    <w:div w:id="1873180625">
      <w:bodyDiv w:val="1"/>
      <w:marLeft w:val="0"/>
      <w:marRight w:val="0"/>
      <w:marTop w:val="0"/>
      <w:marBottom w:val="0"/>
      <w:divBdr>
        <w:top w:val="none" w:sz="0" w:space="0" w:color="auto"/>
        <w:left w:val="none" w:sz="0" w:space="0" w:color="auto"/>
        <w:bottom w:val="none" w:sz="0" w:space="0" w:color="auto"/>
        <w:right w:val="none" w:sz="0" w:space="0" w:color="auto"/>
      </w:divBdr>
    </w:div>
    <w:div w:id="1874148909">
      <w:bodyDiv w:val="1"/>
      <w:marLeft w:val="0"/>
      <w:marRight w:val="0"/>
      <w:marTop w:val="0"/>
      <w:marBottom w:val="0"/>
      <w:divBdr>
        <w:top w:val="none" w:sz="0" w:space="0" w:color="auto"/>
        <w:left w:val="none" w:sz="0" w:space="0" w:color="auto"/>
        <w:bottom w:val="none" w:sz="0" w:space="0" w:color="auto"/>
        <w:right w:val="none" w:sz="0" w:space="0" w:color="auto"/>
      </w:divBdr>
    </w:div>
    <w:div w:id="1983149241">
      <w:bodyDiv w:val="1"/>
      <w:marLeft w:val="0"/>
      <w:marRight w:val="0"/>
      <w:marTop w:val="0"/>
      <w:marBottom w:val="0"/>
      <w:divBdr>
        <w:top w:val="none" w:sz="0" w:space="0" w:color="auto"/>
        <w:left w:val="none" w:sz="0" w:space="0" w:color="auto"/>
        <w:bottom w:val="none" w:sz="0" w:space="0" w:color="auto"/>
        <w:right w:val="none" w:sz="0" w:space="0" w:color="auto"/>
      </w:divBdr>
    </w:div>
    <w:div w:id="2001959806">
      <w:bodyDiv w:val="1"/>
      <w:marLeft w:val="0"/>
      <w:marRight w:val="0"/>
      <w:marTop w:val="0"/>
      <w:marBottom w:val="0"/>
      <w:divBdr>
        <w:top w:val="none" w:sz="0" w:space="0" w:color="auto"/>
        <w:left w:val="none" w:sz="0" w:space="0" w:color="auto"/>
        <w:bottom w:val="none" w:sz="0" w:space="0" w:color="auto"/>
        <w:right w:val="none" w:sz="0" w:space="0" w:color="auto"/>
      </w:divBdr>
    </w:div>
    <w:div w:id="2074348271">
      <w:bodyDiv w:val="1"/>
      <w:marLeft w:val="0"/>
      <w:marRight w:val="0"/>
      <w:marTop w:val="0"/>
      <w:marBottom w:val="0"/>
      <w:divBdr>
        <w:top w:val="none" w:sz="0" w:space="0" w:color="auto"/>
        <w:left w:val="none" w:sz="0" w:space="0" w:color="auto"/>
        <w:bottom w:val="none" w:sz="0" w:space="0" w:color="auto"/>
        <w:right w:val="none" w:sz="0" w:space="0" w:color="auto"/>
      </w:divBdr>
    </w:div>
    <w:div w:id="2076932492">
      <w:bodyDiv w:val="1"/>
      <w:marLeft w:val="0"/>
      <w:marRight w:val="0"/>
      <w:marTop w:val="0"/>
      <w:marBottom w:val="0"/>
      <w:divBdr>
        <w:top w:val="none" w:sz="0" w:space="0" w:color="auto"/>
        <w:left w:val="none" w:sz="0" w:space="0" w:color="auto"/>
        <w:bottom w:val="none" w:sz="0" w:space="0" w:color="auto"/>
        <w:right w:val="none" w:sz="0" w:space="0" w:color="auto"/>
      </w:divBdr>
    </w:div>
    <w:div w:id="210017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28" Type="http://schemas.openxmlformats.org/officeDocument/2006/relationships/fontTable" Target="fontTable.xml"/><Relationship Id="rId15" Type="http://schemas.openxmlformats.org/officeDocument/2006/relationships/footer" Target="footer1.xml"/><Relationship Id="rId23"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s://www.apa.com.au/globalassets/about-apa/our-projects/western-outer-ring-main-project/western-outer-ring-main-project-route-options-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81BB9D-BCA5-4316-ABE0-ACB17D5814CC}"/>
</file>

<file path=customXml/itemProps2.xml><?xml version="1.0" encoding="utf-8"?>
<ds:datastoreItem xmlns:ds="http://schemas.openxmlformats.org/officeDocument/2006/customXml" ds:itemID="{308D5976-3D44-4D71-97B0-E2FE71C94EB5}">
  <ds:schemaRefs>
    <ds:schemaRef ds:uri="http://schemas.openxmlformats.org/officeDocument/2006/bibliography"/>
  </ds:schemaRefs>
</ds:datastoreItem>
</file>

<file path=customXml/itemProps3.xml><?xml version="1.0" encoding="utf-8"?>
<ds:datastoreItem xmlns:ds="http://schemas.openxmlformats.org/officeDocument/2006/customXml" ds:itemID="{B37087E3-7E4A-47A0-8A1F-4CE97F6B65FB}"/>
</file>

<file path=customXml/itemProps4.xml><?xml version="1.0" encoding="utf-8"?>
<ds:datastoreItem xmlns:ds="http://schemas.openxmlformats.org/officeDocument/2006/customXml" ds:itemID="{DC2AF234-620E-4E54-A0ED-6D436B8589AA}">
  <ds:schemaRefs>
    <ds:schemaRef ds:uri="http://schemas.microsoft.com/office/infopath/2007/PartnerControls"/>
    <ds:schemaRef ds:uri="http://purl.org/dc/terms/"/>
    <ds:schemaRef ds:uri="http://schemas.microsoft.com/office/2006/documentManagement/types"/>
    <ds:schemaRef ds:uri="b515edd4-7658-41ae-a9ea-36e04bfea53e"/>
    <ds:schemaRef ds:uri="http://schemas.microsoft.com/office/2006/metadata/properties"/>
    <ds:schemaRef ds:uri="http://purl.org/dc/elements/1.1/"/>
    <ds:schemaRef ds:uri="c0053e3c-1697-4ac4-9a83-8ee3b582d76f"/>
    <ds:schemaRef ds:uri="http://schemas.openxmlformats.org/package/2006/metadata/core-properties"/>
    <ds:schemaRef ds:uri="580b338a-2d14-434a-a3db-04eb9fbec824"/>
    <ds:schemaRef ds:uri="http://www.w3.org/XML/1998/namespace"/>
    <ds:schemaRef ds:uri="http://purl.org/dc/dcmitype/"/>
  </ds:schemaRefs>
</ds:datastoreItem>
</file>

<file path=customXml/itemProps5.xml><?xml version="1.0" encoding="utf-8"?>
<ds:datastoreItem xmlns:ds="http://schemas.openxmlformats.org/officeDocument/2006/customXml" ds:itemID="{600E9F52-A049-4207-A8F1-B980A5CCB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WORM Template.dotx</Template>
  <TotalTime>697</TotalTime>
  <Pages>36</Pages>
  <Words>11383</Words>
  <Characters>64300</Characters>
  <Application>Microsoft Office Word</Application>
  <DocSecurity>0</DocSecurity>
  <Lines>1453</Lines>
  <Paragraphs>460</Paragraphs>
  <ScaleCrop>false</ScaleCrop>
  <HeadingPairs>
    <vt:vector size="2" baseType="variant">
      <vt:variant>
        <vt:lpstr>Title</vt:lpstr>
      </vt:variant>
      <vt:variant>
        <vt:i4>1</vt:i4>
      </vt:variant>
    </vt:vector>
  </HeadingPairs>
  <TitlesOfParts>
    <vt:vector size="1" baseType="lpstr">
      <vt:lpstr>Chapter 3 – xxx.docx</vt:lpstr>
    </vt:vector>
  </TitlesOfParts>
  <Company/>
  <LinksUpToDate>false</LinksUpToDate>
  <CharactersWithSpaces>75466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 xxx.docx</dc:title>
  <dc:subject/>
  <dc:creator>APA VTS (Operations) Pty Ltd</dc:creator>
  <cp:lastModifiedBy>APA VTS Pty Ltd</cp:lastModifiedBy>
  <cp:revision>62</cp:revision>
  <cp:lastPrinted>2021-05-17T16:15:00Z</cp:lastPrinted>
  <dcterms:created xsi:type="dcterms:W3CDTF">2021-03-16T00:20:00Z</dcterms:created>
  <dcterms:modified xsi:type="dcterms:W3CDTF">2021-06-18T06:40:00Z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ca11efb3-20c4-4d24-8948-4b5209dba486</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WPCosting">
    <vt:filetime>2021-06-15T23:52:16Z</vt:filetime>
  </property>
</Properties>
</file>