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93164" w14:textId="32FCA93D" w:rsidR="00BC7381" w:rsidRPr="000E7A0C" w:rsidRDefault="000E7A0C" w:rsidP="00A02B5C">
      <w:pPr>
        <w:pStyle w:val="Heading1ChapterNumber"/>
      </w:pPr>
      <w:bookmarkStart w:id="0" w:name="_Toc72198290"/>
      <w:bookmarkStart w:id="1" w:name="_Hlk69893606"/>
      <w:r w:rsidRPr="000E7A0C">
        <w:rPr>
          <w:noProof/>
        </w:rPr>
        <w:drawing>
          <wp:anchor distT="0" distB="0" distL="114300" distR="114300" simplePos="0" relativeHeight="251659264" behindDoc="0" locked="0" layoutInCell="1" allowOverlap="1" wp14:anchorId="56462CED" wp14:editId="03CAC189">
            <wp:simplePos x="0" y="0"/>
            <wp:positionH relativeFrom="page">
              <wp:align>center</wp:align>
            </wp:positionH>
            <wp:positionV relativeFrom="page">
              <wp:align>center</wp:align>
            </wp:positionV>
            <wp:extent cx="7563600" cy="106920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r w:rsidR="00BC7381" w:rsidRPr="000E7A0C">
        <w:t xml:space="preserve">Chapter </w:t>
      </w:r>
      <w:r w:rsidR="00BE54D2">
        <w:fldChar w:fldCharType="begin"/>
      </w:r>
      <w:r w:rsidR="00BE54D2">
        <w:instrText xml:space="preserve"> STYLEREF  "Heading 1" \n  \* MERGEFORMAT </w:instrText>
      </w:r>
      <w:r w:rsidR="00BE54D2">
        <w:fldChar w:fldCharType="separate"/>
      </w:r>
      <w:r w:rsidR="00387F36">
        <w:rPr>
          <w:noProof/>
        </w:rPr>
        <w:t>2</w:t>
      </w:r>
      <w:bookmarkEnd w:id="0"/>
      <w:r w:rsidR="00BE54D2">
        <w:rPr>
          <w:noProof/>
        </w:rPr>
        <w:fldChar w:fldCharType="end"/>
      </w:r>
    </w:p>
    <w:bookmarkStart w:id="2" w:name="_Toc70059625"/>
    <w:bookmarkStart w:id="3" w:name="_Toc70878574"/>
    <w:p w14:paraId="3CA8AE7B" w14:textId="3BEF7599" w:rsidR="00A02B5C" w:rsidRPr="00E8026F" w:rsidRDefault="00BE54D2" w:rsidP="00387F36">
      <w:pPr>
        <w:pStyle w:val="Heading1"/>
      </w:pPr>
      <w:sdt>
        <w:sdtPr>
          <w:id w:val="1607932508"/>
          <w:docPartObj>
            <w:docPartGallery w:val="Cover Pages"/>
            <w:docPartUnique/>
          </w:docPartObj>
        </w:sdtPr>
        <w:sdtEndPr/>
        <w:sdtContent>
          <w:bookmarkStart w:id="4" w:name="_Toc46733439"/>
          <w:r w:rsidR="003C7278">
            <w:t xml:space="preserve">Project </w:t>
          </w:r>
          <w:r w:rsidR="008E3D9D">
            <w:t>r</w:t>
          </w:r>
          <w:r w:rsidR="003C7278">
            <w:t>ationale</w:t>
          </w:r>
        </w:sdtContent>
      </w:sdt>
      <w:bookmarkEnd w:id="2"/>
      <w:bookmarkEnd w:id="3"/>
      <w:bookmarkEnd w:id="4"/>
    </w:p>
    <w:p w14:paraId="2E3A86C4" w14:textId="6F725881" w:rsidR="00A02B5C" w:rsidRDefault="00A02B5C" w:rsidP="00A02B5C">
      <w:pPr>
        <w:pStyle w:val="Chapterimage"/>
      </w:pPr>
    </w:p>
    <w:p w14:paraId="1650DE21" w14:textId="77777777" w:rsidR="00E8026F" w:rsidRPr="00E8026F" w:rsidRDefault="00E8026F" w:rsidP="00A02B5C">
      <w:pPr>
        <w:pStyle w:val="Chapterimage"/>
        <w:sectPr w:rsidR="00E8026F" w:rsidRPr="00E8026F" w:rsidSect="006406FD">
          <w:headerReference w:type="even" r:id="rId13"/>
          <w:headerReference w:type="default" r:id="rId14"/>
          <w:footerReference w:type="even" r:id="rId15"/>
          <w:footerReference w:type="default" r:id="rId16"/>
          <w:headerReference w:type="first" r:id="rId17"/>
          <w:footerReference w:type="first" r:id="rId18"/>
          <w:type w:val="oddPage"/>
          <w:pgSz w:w="11906" w:h="16838" w:code="9"/>
          <w:pgMar w:top="1418" w:right="1418" w:bottom="1418" w:left="1418" w:header="567" w:footer="567" w:gutter="0"/>
          <w:pgNumType w:chapStyle="1"/>
          <w:cols w:space="708"/>
          <w:titlePg/>
          <w:docGrid w:linePitch="360"/>
        </w:sectPr>
      </w:pPr>
    </w:p>
    <w:bookmarkStart w:id="5" w:name="_Toc42228428" w:displacedByCustomXml="next"/>
    <w:bookmarkStart w:id="6" w:name="_Toc392541312" w:displacedByCustomXml="next"/>
    <w:sdt>
      <w:sdtPr>
        <w:rPr>
          <w:rFonts w:asciiTheme="minorHAnsi" w:eastAsiaTheme="minorHAnsi" w:hAnsiTheme="minorHAnsi" w:cstheme="minorBidi"/>
          <w:bCs w:val="0"/>
          <w:color w:val="auto"/>
          <w:sz w:val="22"/>
          <w:szCs w:val="22"/>
        </w:rPr>
        <w:id w:val="-278254695"/>
        <w:docPartObj>
          <w:docPartGallery w:val="Table of Contents"/>
          <w:docPartUnique/>
        </w:docPartObj>
      </w:sdtPr>
      <w:sdtEndPr>
        <w:rPr>
          <w:sz w:val="20"/>
        </w:rPr>
      </w:sdtEndPr>
      <w:sdtContent>
        <w:sdt>
          <w:sdtPr>
            <w:rPr>
              <w:rFonts w:asciiTheme="minorHAnsi" w:eastAsiaTheme="minorHAnsi" w:hAnsiTheme="minorHAnsi" w:cstheme="minorBidi"/>
              <w:bCs w:val="0"/>
              <w:noProof/>
              <w:sz w:val="20"/>
              <w:szCs w:val="22"/>
            </w:rPr>
            <w:id w:val="-1684888852"/>
            <w:docPartObj>
              <w:docPartGallery w:val="Table of Contents"/>
              <w:docPartUnique/>
            </w:docPartObj>
          </w:sdtPr>
          <w:sdtEndPr/>
          <w:sdtContent>
            <w:p w14:paraId="44D45E53" w14:textId="77777777" w:rsidR="000E7A0C" w:rsidRDefault="000E7A0C" w:rsidP="000E7A0C">
              <w:pPr>
                <w:pStyle w:val="TOCHeading"/>
              </w:pPr>
              <w:r>
                <w:t>Contents</w:t>
              </w:r>
            </w:p>
            <w:p w14:paraId="454B6130" w14:textId="77777777" w:rsidR="00387F36" w:rsidRDefault="000E7A0C">
              <w:pPr>
                <w:pStyle w:val="TOC1"/>
                <w:rPr>
                  <w:rFonts w:eastAsiaTheme="minorEastAsia"/>
                  <w:color w:val="auto"/>
                  <w:lang w:eastAsia="en-AU"/>
                </w:rPr>
              </w:pPr>
              <w:r w:rsidRPr="000E7A0C">
                <w:fldChar w:fldCharType="begin"/>
              </w:r>
              <w:r>
                <w:instrText xml:space="preserve"> TOC \o "2-3" \n 1-1 \h \z \t "Heading 1 Chapter Number,1, Heading 1 No Number,1, Heading 2 No Number,6, Heading 3 No Number,7, Heading 4 No Number,8, Appendix Heading 1,1, Appendix Heading 2,2, Appendix Heading 3,3" </w:instrText>
              </w:r>
              <w:r w:rsidRPr="000E7A0C">
                <w:fldChar w:fldCharType="separate"/>
              </w:r>
              <w:hyperlink w:anchor="_Toc72198290" w:history="1">
                <w:r w:rsidR="00387F36" w:rsidRPr="007530DB">
                  <w:rPr>
                    <w:rStyle w:val="Hyperlink"/>
                  </w:rPr>
                  <w:t>Chapter 2</w:t>
                </w:r>
              </w:hyperlink>
            </w:p>
            <w:p w14:paraId="77DC4906" w14:textId="73B34EE5" w:rsidR="00387F36" w:rsidRDefault="00BE54D2">
              <w:pPr>
                <w:pStyle w:val="TOC2"/>
                <w:rPr>
                  <w:rFonts w:eastAsiaTheme="minorEastAsia"/>
                  <w:color w:val="auto"/>
                  <w:sz w:val="22"/>
                  <w:lang w:eastAsia="en-AU"/>
                </w:rPr>
              </w:pPr>
              <w:hyperlink w:anchor="_Toc72198291" w:history="1">
                <w:r w:rsidR="00387F36" w:rsidRPr="007530DB">
                  <w:rPr>
                    <w:rStyle w:val="Hyperlink"/>
                  </w:rPr>
                  <w:t>2.1</w:t>
                </w:r>
                <w:r w:rsidR="00387F36">
                  <w:rPr>
                    <w:rFonts w:eastAsiaTheme="minorEastAsia"/>
                    <w:color w:val="auto"/>
                    <w:sz w:val="22"/>
                    <w:lang w:eastAsia="en-AU"/>
                  </w:rPr>
                  <w:tab/>
                </w:r>
                <w:r w:rsidR="00387F36" w:rsidRPr="007530DB">
                  <w:rPr>
                    <w:rStyle w:val="Hyperlink"/>
                  </w:rPr>
                  <w:t>Introduction</w:t>
                </w:r>
                <w:r w:rsidR="00387F36">
                  <w:rPr>
                    <w:webHidden/>
                  </w:rPr>
                  <w:tab/>
                </w:r>
                <w:r w:rsidR="00387F36">
                  <w:rPr>
                    <w:webHidden/>
                  </w:rPr>
                  <w:fldChar w:fldCharType="begin"/>
                </w:r>
                <w:r w:rsidR="00387F36">
                  <w:rPr>
                    <w:webHidden/>
                  </w:rPr>
                  <w:instrText xml:space="preserve"> PAGEREF _Toc72198291 \h </w:instrText>
                </w:r>
                <w:r w:rsidR="00387F36">
                  <w:rPr>
                    <w:webHidden/>
                  </w:rPr>
                </w:r>
                <w:r w:rsidR="00387F36">
                  <w:rPr>
                    <w:webHidden/>
                  </w:rPr>
                  <w:fldChar w:fldCharType="separate"/>
                </w:r>
                <w:r w:rsidR="00387F36">
                  <w:rPr>
                    <w:webHidden/>
                  </w:rPr>
                  <w:t>2-1</w:t>
                </w:r>
                <w:r w:rsidR="00387F36">
                  <w:rPr>
                    <w:webHidden/>
                  </w:rPr>
                  <w:fldChar w:fldCharType="end"/>
                </w:r>
              </w:hyperlink>
            </w:p>
            <w:p w14:paraId="58EA5C2C" w14:textId="105837E5" w:rsidR="00387F36" w:rsidRDefault="00BE54D2">
              <w:pPr>
                <w:pStyle w:val="TOC2"/>
                <w:rPr>
                  <w:rFonts w:eastAsiaTheme="minorEastAsia"/>
                  <w:color w:val="auto"/>
                  <w:sz w:val="22"/>
                  <w:lang w:eastAsia="en-AU"/>
                </w:rPr>
              </w:pPr>
              <w:hyperlink w:anchor="_Toc72198292" w:history="1">
                <w:r w:rsidR="00387F36" w:rsidRPr="007530DB">
                  <w:rPr>
                    <w:rStyle w:val="Hyperlink"/>
                  </w:rPr>
                  <w:t>2.2</w:t>
                </w:r>
                <w:r w:rsidR="00387F36">
                  <w:rPr>
                    <w:rFonts w:eastAsiaTheme="minorEastAsia"/>
                    <w:color w:val="auto"/>
                    <w:sz w:val="22"/>
                    <w:lang w:eastAsia="en-AU"/>
                  </w:rPr>
                  <w:tab/>
                </w:r>
                <w:r w:rsidR="00387F36" w:rsidRPr="007530DB">
                  <w:rPr>
                    <w:rStyle w:val="Hyperlink"/>
                  </w:rPr>
                  <w:t>How we use natural gas in Victoria</w:t>
                </w:r>
                <w:r w:rsidR="00387F36">
                  <w:rPr>
                    <w:webHidden/>
                  </w:rPr>
                  <w:tab/>
                </w:r>
                <w:r w:rsidR="00387F36">
                  <w:rPr>
                    <w:webHidden/>
                  </w:rPr>
                  <w:fldChar w:fldCharType="begin"/>
                </w:r>
                <w:r w:rsidR="00387F36">
                  <w:rPr>
                    <w:webHidden/>
                  </w:rPr>
                  <w:instrText xml:space="preserve"> PAGEREF _Toc72198292 \h </w:instrText>
                </w:r>
                <w:r w:rsidR="00387F36">
                  <w:rPr>
                    <w:webHidden/>
                  </w:rPr>
                </w:r>
                <w:r w:rsidR="00387F36">
                  <w:rPr>
                    <w:webHidden/>
                  </w:rPr>
                  <w:fldChar w:fldCharType="separate"/>
                </w:r>
                <w:r w:rsidR="00387F36">
                  <w:rPr>
                    <w:webHidden/>
                  </w:rPr>
                  <w:t>2-1</w:t>
                </w:r>
                <w:r w:rsidR="00387F36">
                  <w:rPr>
                    <w:webHidden/>
                  </w:rPr>
                  <w:fldChar w:fldCharType="end"/>
                </w:r>
              </w:hyperlink>
            </w:p>
            <w:p w14:paraId="31DEDA87" w14:textId="0CEB6CE5" w:rsidR="00387F36" w:rsidRDefault="00BE54D2">
              <w:pPr>
                <w:pStyle w:val="TOC3"/>
                <w:rPr>
                  <w:rFonts w:eastAsiaTheme="minorEastAsia"/>
                  <w:sz w:val="22"/>
                  <w:lang w:eastAsia="en-AU"/>
                </w:rPr>
              </w:pPr>
              <w:hyperlink w:anchor="_Toc72198293" w:history="1">
                <w:r w:rsidR="00387F36" w:rsidRPr="007530DB">
                  <w:rPr>
                    <w:rStyle w:val="Hyperlink"/>
                  </w:rPr>
                  <w:t>2.2.1</w:t>
                </w:r>
                <w:r w:rsidR="00387F36">
                  <w:rPr>
                    <w:rFonts w:eastAsiaTheme="minorEastAsia"/>
                    <w:sz w:val="22"/>
                    <w:lang w:eastAsia="en-AU"/>
                  </w:rPr>
                  <w:tab/>
                </w:r>
                <w:r w:rsidR="00387F36" w:rsidRPr="007530DB">
                  <w:rPr>
                    <w:rStyle w:val="Hyperlink"/>
                  </w:rPr>
                  <w:t>Gas consumption</w:t>
                </w:r>
                <w:r w:rsidR="00387F36">
                  <w:rPr>
                    <w:webHidden/>
                  </w:rPr>
                  <w:tab/>
                </w:r>
                <w:r w:rsidR="00387F36">
                  <w:rPr>
                    <w:webHidden/>
                  </w:rPr>
                  <w:fldChar w:fldCharType="begin"/>
                </w:r>
                <w:r w:rsidR="00387F36">
                  <w:rPr>
                    <w:webHidden/>
                  </w:rPr>
                  <w:instrText xml:space="preserve"> PAGEREF _Toc72198293 \h </w:instrText>
                </w:r>
                <w:r w:rsidR="00387F36">
                  <w:rPr>
                    <w:webHidden/>
                  </w:rPr>
                </w:r>
                <w:r w:rsidR="00387F36">
                  <w:rPr>
                    <w:webHidden/>
                  </w:rPr>
                  <w:fldChar w:fldCharType="separate"/>
                </w:r>
                <w:r w:rsidR="00387F36">
                  <w:rPr>
                    <w:webHidden/>
                  </w:rPr>
                  <w:t>2-1</w:t>
                </w:r>
                <w:r w:rsidR="00387F36">
                  <w:rPr>
                    <w:webHidden/>
                  </w:rPr>
                  <w:fldChar w:fldCharType="end"/>
                </w:r>
              </w:hyperlink>
            </w:p>
            <w:p w14:paraId="4D723F04" w14:textId="2E049215" w:rsidR="00387F36" w:rsidRDefault="00BE54D2">
              <w:pPr>
                <w:pStyle w:val="TOC3"/>
                <w:rPr>
                  <w:rFonts w:eastAsiaTheme="minorEastAsia"/>
                  <w:sz w:val="22"/>
                  <w:lang w:eastAsia="en-AU"/>
                </w:rPr>
              </w:pPr>
              <w:hyperlink w:anchor="_Toc72198294" w:history="1">
                <w:r w:rsidR="00387F36" w:rsidRPr="007530DB">
                  <w:rPr>
                    <w:rStyle w:val="Hyperlink"/>
                  </w:rPr>
                  <w:t>2.2.2</w:t>
                </w:r>
                <w:r w:rsidR="00387F36">
                  <w:rPr>
                    <w:rFonts w:eastAsiaTheme="minorEastAsia"/>
                    <w:sz w:val="22"/>
                    <w:lang w:eastAsia="en-AU"/>
                  </w:rPr>
                  <w:tab/>
                </w:r>
                <w:r w:rsidR="00387F36" w:rsidRPr="007530DB">
                  <w:rPr>
                    <w:rStyle w:val="Hyperlink"/>
                  </w:rPr>
                  <w:t>Gas demand</w:t>
                </w:r>
                <w:r w:rsidR="00387F36">
                  <w:rPr>
                    <w:webHidden/>
                  </w:rPr>
                  <w:tab/>
                </w:r>
                <w:r w:rsidR="00387F36">
                  <w:rPr>
                    <w:webHidden/>
                  </w:rPr>
                  <w:fldChar w:fldCharType="begin"/>
                </w:r>
                <w:r w:rsidR="00387F36">
                  <w:rPr>
                    <w:webHidden/>
                  </w:rPr>
                  <w:instrText xml:space="preserve"> PAGEREF _Toc72198294 \h </w:instrText>
                </w:r>
                <w:r w:rsidR="00387F36">
                  <w:rPr>
                    <w:webHidden/>
                  </w:rPr>
                </w:r>
                <w:r w:rsidR="00387F36">
                  <w:rPr>
                    <w:webHidden/>
                  </w:rPr>
                  <w:fldChar w:fldCharType="separate"/>
                </w:r>
                <w:r w:rsidR="00387F36">
                  <w:rPr>
                    <w:webHidden/>
                  </w:rPr>
                  <w:t>2-2</w:t>
                </w:r>
                <w:r w:rsidR="00387F36">
                  <w:rPr>
                    <w:webHidden/>
                  </w:rPr>
                  <w:fldChar w:fldCharType="end"/>
                </w:r>
              </w:hyperlink>
            </w:p>
            <w:p w14:paraId="32E84B5B" w14:textId="005FC72C" w:rsidR="00387F36" w:rsidRDefault="00BE54D2">
              <w:pPr>
                <w:pStyle w:val="TOC2"/>
                <w:rPr>
                  <w:rFonts w:eastAsiaTheme="minorEastAsia"/>
                  <w:color w:val="auto"/>
                  <w:sz w:val="22"/>
                  <w:lang w:eastAsia="en-AU"/>
                </w:rPr>
              </w:pPr>
              <w:hyperlink w:anchor="_Toc72198295" w:history="1">
                <w:r w:rsidR="00387F36" w:rsidRPr="007530DB">
                  <w:rPr>
                    <w:rStyle w:val="Hyperlink"/>
                  </w:rPr>
                  <w:t>2.3</w:t>
                </w:r>
                <w:r w:rsidR="00387F36">
                  <w:rPr>
                    <w:rFonts w:eastAsiaTheme="minorEastAsia"/>
                    <w:color w:val="auto"/>
                    <w:sz w:val="22"/>
                    <w:lang w:eastAsia="en-AU"/>
                  </w:rPr>
                  <w:tab/>
                </w:r>
                <w:r w:rsidR="00387F36" w:rsidRPr="007530DB">
                  <w:rPr>
                    <w:rStyle w:val="Hyperlink"/>
                  </w:rPr>
                  <w:t>The importance of gas supply for Victoria’s energy security, efficiency and affordability</w:t>
                </w:r>
                <w:r w:rsidR="00387F36">
                  <w:rPr>
                    <w:webHidden/>
                  </w:rPr>
                  <w:tab/>
                </w:r>
                <w:r w:rsidR="00387F36">
                  <w:rPr>
                    <w:webHidden/>
                  </w:rPr>
                  <w:fldChar w:fldCharType="begin"/>
                </w:r>
                <w:r w:rsidR="00387F36">
                  <w:rPr>
                    <w:webHidden/>
                  </w:rPr>
                  <w:instrText xml:space="preserve"> PAGEREF _Toc72198295 \h </w:instrText>
                </w:r>
                <w:r w:rsidR="00387F36">
                  <w:rPr>
                    <w:webHidden/>
                  </w:rPr>
                </w:r>
                <w:r w:rsidR="00387F36">
                  <w:rPr>
                    <w:webHidden/>
                  </w:rPr>
                  <w:fldChar w:fldCharType="separate"/>
                </w:r>
                <w:r w:rsidR="00387F36">
                  <w:rPr>
                    <w:webHidden/>
                  </w:rPr>
                  <w:t>2-3</w:t>
                </w:r>
                <w:r w:rsidR="00387F36">
                  <w:rPr>
                    <w:webHidden/>
                  </w:rPr>
                  <w:fldChar w:fldCharType="end"/>
                </w:r>
              </w:hyperlink>
            </w:p>
            <w:p w14:paraId="149F9FCD" w14:textId="75EB8422" w:rsidR="00387F36" w:rsidRDefault="00BE54D2">
              <w:pPr>
                <w:pStyle w:val="TOC3"/>
                <w:rPr>
                  <w:rFonts w:eastAsiaTheme="minorEastAsia"/>
                  <w:sz w:val="22"/>
                  <w:lang w:eastAsia="en-AU"/>
                </w:rPr>
              </w:pPr>
              <w:hyperlink w:anchor="_Toc72198296" w:history="1">
                <w:r w:rsidR="00387F36" w:rsidRPr="007530DB">
                  <w:rPr>
                    <w:rStyle w:val="Hyperlink"/>
                  </w:rPr>
                  <w:t>2.3.1</w:t>
                </w:r>
                <w:r w:rsidR="00387F36">
                  <w:rPr>
                    <w:rFonts w:eastAsiaTheme="minorEastAsia"/>
                    <w:sz w:val="22"/>
                    <w:lang w:eastAsia="en-AU"/>
                  </w:rPr>
                  <w:tab/>
                </w:r>
                <w:r w:rsidR="00387F36" w:rsidRPr="007530DB">
                  <w:rPr>
                    <w:rStyle w:val="Hyperlink"/>
                  </w:rPr>
                  <w:t>Energy policy context in Victoria</w:t>
                </w:r>
                <w:r w:rsidR="00387F36">
                  <w:rPr>
                    <w:webHidden/>
                  </w:rPr>
                  <w:tab/>
                </w:r>
                <w:r w:rsidR="00387F36">
                  <w:rPr>
                    <w:webHidden/>
                  </w:rPr>
                  <w:fldChar w:fldCharType="begin"/>
                </w:r>
                <w:r w:rsidR="00387F36">
                  <w:rPr>
                    <w:webHidden/>
                  </w:rPr>
                  <w:instrText xml:space="preserve"> PAGEREF _Toc72198296 \h </w:instrText>
                </w:r>
                <w:r w:rsidR="00387F36">
                  <w:rPr>
                    <w:webHidden/>
                  </w:rPr>
                </w:r>
                <w:r w:rsidR="00387F36">
                  <w:rPr>
                    <w:webHidden/>
                  </w:rPr>
                  <w:fldChar w:fldCharType="separate"/>
                </w:r>
                <w:r w:rsidR="00387F36">
                  <w:rPr>
                    <w:webHidden/>
                  </w:rPr>
                  <w:t>2-3</w:t>
                </w:r>
                <w:r w:rsidR="00387F36">
                  <w:rPr>
                    <w:webHidden/>
                  </w:rPr>
                  <w:fldChar w:fldCharType="end"/>
                </w:r>
              </w:hyperlink>
            </w:p>
            <w:p w14:paraId="4AC248B9" w14:textId="7C5878AC" w:rsidR="00387F36" w:rsidRDefault="00BE54D2">
              <w:pPr>
                <w:pStyle w:val="TOC3"/>
                <w:rPr>
                  <w:rFonts w:eastAsiaTheme="minorEastAsia"/>
                  <w:sz w:val="22"/>
                  <w:lang w:eastAsia="en-AU"/>
                </w:rPr>
              </w:pPr>
              <w:hyperlink w:anchor="_Toc72198297" w:history="1">
                <w:r w:rsidR="00387F36" w:rsidRPr="007530DB">
                  <w:rPr>
                    <w:rStyle w:val="Hyperlink"/>
                  </w:rPr>
                  <w:t>2.3.2</w:t>
                </w:r>
                <w:r w:rsidR="00387F36">
                  <w:rPr>
                    <w:rFonts w:eastAsiaTheme="minorEastAsia"/>
                    <w:sz w:val="22"/>
                    <w:lang w:eastAsia="en-AU"/>
                  </w:rPr>
                  <w:tab/>
                </w:r>
                <w:r w:rsidR="00387F36" w:rsidRPr="007530DB">
                  <w:rPr>
                    <w:rStyle w:val="Hyperlink"/>
                  </w:rPr>
                  <w:t>Forecast gas supply shortfall during peak demand periods</w:t>
                </w:r>
                <w:r w:rsidR="00387F36">
                  <w:rPr>
                    <w:webHidden/>
                  </w:rPr>
                  <w:tab/>
                </w:r>
                <w:r w:rsidR="00387F36">
                  <w:rPr>
                    <w:webHidden/>
                  </w:rPr>
                  <w:fldChar w:fldCharType="begin"/>
                </w:r>
                <w:r w:rsidR="00387F36">
                  <w:rPr>
                    <w:webHidden/>
                  </w:rPr>
                  <w:instrText xml:space="preserve"> PAGEREF _Toc72198297 \h </w:instrText>
                </w:r>
                <w:r w:rsidR="00387F36">
                  <w:rPr>
                    <w:webHidden/>
                  </w:rPr>
                </w:r>
                <w:r w:rsidR="00387F36">
                  <w:rPr>
                    <w:webHidden/>
                  </w:rPr>
                  <w:fldChar w:fldCharType="separate"/>
                </w:r>
                <w:r w:rsidR="00387F36">
                  <w:rPr>
                    <w:webHidden/>
                  </w:rPr>
                  <w:t>2-4</w:t>
                </w:r>
                <w:r w:rsidR="00387F36">
                  <w:rPr>
                    <w:webHidden/>
                  </w:rPr>
                  <w:fldChar w:fldCharType="end"/>
                </w:r>
              </w:hyperlink>
            </w:p>
            <w:p w14:paraId="1A6CC577" w14:textId="4AD4CD88" w:rsidR="00387F36" w:rsidRDefault="00BE54D2">
              <w:pPr>
                <w:pStyle w:val="TOC3"/>
                <w:rPr>
                  <w:rFonts w:eastAsiaTheme="minorEastAsia"/>
                  <w:sz w:val="22"/>
                  <w:lang w:eastAsia="en-AU"/>
                </w:rPr>
              </w:pPr>
              <w:hyperlink w:anchor="_Toc72198298" w:history="1">
                <w:r w:rsidR="00387F36" w:rsidRPr="007530DB">
                  <w:rPr>
                    <w:rStyle w:val="Hyperlink"/>
                  </w:rPr>
                  <w:t>2.3.3</w:t>
                </w:r>
                <w:r w:rsidR="00387F36">
                  <w:rPr>
                    <w:rFonts w:eastAsiaTheme="minorEastAsia"/>
                    <w:sz w:val="22"/>
                    <w:lang w:eastAsia="en-AU"/>
                  </w:rPr>
                  <w:tab/>
                </w:r>
                <w:r w:rsidR="00387F36" w:rsidRPr="007530DB">
                  <w:rPr>
                    <w:rStyle w:val="Hyperlink"/>
                  </w:rPr>
                  <w:t>The role of gas supply in Victoria’s energy mix</w:t>
                </w:r>
                <w:r w:rsidR="00387F36">
                  <w:rPr>
                    <w:webHidden/>
                  </w:rPr>
                  <w:tab/>
                </w:r>
                <w:r w:rsidR="00387F36">
                  <w:rPr>
                    <w:webHidden/>
                  </w:rPr>
                  <w:fldChar w:fldCharType="begin"/>
                </w:r>
                <w:r w:rsidR="00387F36">
                  <w:rPr>
                    <w:webHidden/>
                  </w:rPr>
                  <w:instrText xml:space="preserve"> PAGEREF _Toc72198298 \h </w:instrText>
                </w:r>
                <w:r w:rsidR="00387F36">
                  <w:rPr>
                    <w:webHidden/>
                  </w:rPr>
                </w:r>
                <w:r w:rsidR="00387F36">
                  <w:rPr>
                    <w:webHidden/>
                  </w:rPr>
                  <w:fldChar w:fldCharType="separate"/>
                </w:r>
                <w:r w:rsidR="00387F36">
                  <w:rPr>
                    <w:webHidden/>
                  </w:rPr>
                  <w:t>2-5</w:t>
                </w:r>
                <w:r w:rsidR="00387F36">
                  <w:rPr>
                    <w:webHidden/>
                  </w:rPr>
                  <w:fldChar w:fldCharType="end"/>
                </w:r>
              </w:hyperlink>
            </w:p>
            <w:p w14:paraId="59E01B0E" w14:textId="2D408A16" w:rsidR="00387F36" w:rsidRDefault="00BE54D2">
              <w:pPr>
                <w:pStyle w:val="TOC2"/>
                <w:rPr>
                  <w:rFonts w:eastAsiaTheme="minorEastAsia"/>
                  <w:color w:val="auto"/>
                  <w:sz w:val="22"/>
                  <w:lang w:eastAsia="en-AU"/>
                </w:rPr>
              </w:pPr>
              <w:hyperlink w:anchor="_Toc72198299" w:history="1">
                <w:r w:rsidR="00387F36" w:rsidRPr="007530DB">
                  <w:rPr>
                    <w:rStyle w:val="Hyperlink"/>
                  </w:rPr>
                  <w:t>2.4</w:t>
                </w:r>
                <w:r w:rsidR="00387F36">
                  <w:rPr>
                    <w:rFonts w:eastAsiaTheme="minorEastAsia"/>
                    <w:color w:val="auto"/>
                    <w:sz w:val="22"/>
                    <w:lang w:eastAsia="en-AU"/>
                  </w:rPr>
                  <w:tab/>
                </w:r>
                <w:r w:rsidR="00387F36" w:rsidRPr="007530DB">
                  <w:rPr>
                    <w:rStyle w:val="Hyperlink"/>
                  </w:rPr>
                  <w:t>Network infrastructure constraints impacting energy security, efficiency and affordability</w:t>
                </w:r>
                <w:r w:rsidR="00387F36">
                  <w:rPr>
                    <w:webHidden/>
                  </w:rPr>
                  <w:tab/>
                </w:r>
                <w:r w:rsidR="00387F36">
                  <w:rPr>
                    <w:webHidden/>
                  </w:rPr>
                  <w:fldChar w:fldCharType="begin"/>
                </w:r>
                <w:r w:rsidR="00387F36">
                  <w:rPr>
                    <w:webHidden/>
                  </w:rPr>
                  <w:instrText xml:space="preserve"> PAGEREF _Toc72198299 \h </w:instrText>
                </w:r>
                <w:r w:rsidR="00387F36">
                  <w:rPr>
                    <w:webHidden/>
                  </w:rPr>
                </w:r>
                <w:r w:rsidR="00387F36">
                  <w:rPr>
                    <w:webHidden/>
                  </w:rPr>
                  <w:fldChar w:fldCharType="separate"/>
                </w:r>
                <w:r w:rsidR="00387F36">
                  <w:rPr>
                    <w:webHidden/>
                  </w:rPr>
                  <w:t>2-8</w:t>
                </w:r>
                <w:r w:rsidR="00387F36">
                  <w:rPr>
                    <w:webHidden/>
                  </w:rPr>
                  <w:fldChar w:fldCharType="end"/>
                </w:r>
              </w:hyperlink>
            </w:p>
            <w:p w14:paraId="057AC41A" w14:textId="3138233E" w:rsidR="00387F36" w:rsidRDefault="00BE54D2">
              <w:pPr>
                <w:pStyle w:val="TOC3"/>
                <w:rPr>
                  <w:rFonts w:eastAsiaTheme="minorEastAsia"/>
                  <w:sz w:val="22"/>
                  <w:lang w:eastAsia="en-AU"/>
                </w:rPr>
              </w:pPr>
              <w:hyperlink w:anchor="_Toc72198300" w:history="1">
                <w:r w:rsidR="00387F36" w:rsidRPr="007530DB">
                  <w:rPr>
                    <w:rStyle w:val="Hyperlink"/>
                  </w:rPr>
                  <w:t>2.4.1</w:t>
                </w:r>
                <w:r w:rsidR="00387F36">
                  <w:rPr>
                    <w:rFonts w:eastAsiaTheme="minorEastAsia"/>
                    <w:sz w:val="22"/>
                    <w:lang w:eastAsia="en-AU"/>
                  </w:rPr>
                  <w:tab/>
                </w:r>
                <w:r w:rsidR="00387F36" w:rsidRPr="007530DB">
                  <w:rPr>
                    <w:rStyle w:val="Hyperlink"/>
                  </w:rPr>
                  <w:t>Gas storage in Victoria and the importance of gas transfer to the west</w:t>
                </w:r>
                <w:r w:rsidR="00387F36">
                  <w:rPr>
                    <w:webHidden/>
                  </w:rPr>
                  <w:tab/>
                </w:r>
                <w:r w:rsidR="00387F36">
                  <w:rPr>
                    <w:webHidden/>
                  </w:rPr>
                  <w:fldChar w:fldCharType="begin"/>
                </w:r>
                <w:r w:rsidR="00387F36">
                  <w:rPr>
                    <w:webHidden/>
                  </w:rPr>
                  <w:instrText xml:space="preserve"> PAGEREF _Toc72198300 \h </w:instrText>
                </w:r>
                <w:r w:rsidR="00387F36">
                  <w:rPr>
                    <w:webHidden/>
                  </w:rPr>
                </w:r>
                <w:r w:rsidR="00387F36">
                  <w:rPr>
                    <w:webHidden/>
                  </w:rPr>
                  <w:fldChar w:fldCharType="separate"/>
                </w:r>
                <w:r w:rsidR="00387F36">
                  <w:rPr>
                    <w:webHidden/>
                  </w:rPr>
                  <w:t>2-8</w:t>
                </w:r>
                <w:r w:rsidR="00387F36">
                  <w:rPr>
                    <w:webHidden/>
                  </w:rPr>
                  <w:fldChar w:fldCharType="end"/>
                </w:r>
              </w:hyperlink>
            </w:p>
            <w:p w14:paraId="51C1CF05" w14:textId="03C14214" w:rsidR="00387F36" w:rsidRDefault="00BE54D2">
              <w:pPr>
                <w:pStyle w:val="TOC3"/>
                <w:rPr>
                  <w:rFonts w:eastAsiaTheme="minorEastAsia"/>
                  <w:sz w:val="22"/>
                  <w:lang w:eastAsia="en-AU"/>
                </w:rPr>
              </w:pPr>
              <w:hyperlink w:anchor="_Toc72198301" w:history="1">
                <w:r w:rsidR="00387F36" w:rsidRPr="007530DB">
                  <w:rPr>
                    <w:rStyle w:val="Hyperlink"/>
                  </w:rPr>
                  <w:t>2.4.2</w:t>
                </w:r>
                <w:r w:rsidR="00387F36">
                  <w:rPr>
                    <w:rFonts w:eastAsiaTheme="minorEastAsia"/>
                    <w:sz w:val="22"/>
                    <w:lang w:eastAsia="en-AU"/>
                  </w:rPr>
                  <w:tab/>
                </w:r>
                <w:r w:rsidR="00387F36" w:rsidRPr="007530DB">
                  <w:rPr>
                    <w:rStyle w:val="Hyperlink"/>
                  </w:rPr>
                  <w:t>How Victoria’s gas supply is sourced and circulated to customers</w:t>
                </w:r>
                <w:r w:rsidR="00387F36">
                  <w:rPr>
                    <w:webHidden/>
                  </w:rPr>
                  <w:tab/>
                </w:r>
                <w:r w:rsidR="00387F36">
                  <w:rPr>
                    <w:webHidden/>
                  </w:rPr>
                  <w:fldChar w:fldCharType="begin"/>
                </w:r>
                <w:r w:rsidR="00387F36">
                  <w:rPr>
                    <w:webHidden/>
                  </w:rPr>
                  <w:instrText xml:space="preserve"> PAGEREF _Toc72198301 \h </w:instrText>
                </w:r>
                <w:r w:rsidR="00387F36">
                  <w:rPr>
                    <w:webHidden/>
                  </w:rPr>
                </w:r>
                <w:r w:rsidR="00387F36">
                  <w:rPr>
                    <w:webHidden/>
                  </w:rPr>
                  <w:fldChar w:fldCharType="separate"/>
                </w:r>
                <w:r w:rsidR="00387F36">
                  <w:rPr>
                    <w:webHidden/>
                  </w:rPr>
                  <w:t>2-9</w:t>
                </w:r>
                <w:r w:rsidR="00387F36">
                  <w:rPr>
                    <w:webHidden/>
                  </w:rPr>
                  <w:fldChar w:fldCharType="end"/>
                </w:r>
              </w:hyperlink>
            </w:p>
            <w:p w14:paraId="132FC7CA" w14:textId="1E0CA3AB" w:rsidR="00387F36" w:rsidRDefault="00BE54D2">
              <w:pPr>
                <w:pStyle w:val="TOC3"/>
                <w:rPr>
                  <w:rFonts w:eastAsiaTheme="minorEastAsia"/>
                  <w:sz w:val="22"/>
                  <w:lang w:eastAsia="en-AU"/>
                </w:rPr>
              </w:pPr>
              <w:hyperlink w:anchor="_Toc72198302" w:history="1">
                <w:r w:rsidR="00387F36" w:rsidRPr="007530DB">
                  <w:rPr>
                    <w:rStyle w:val="Hyperlink"/>
                  </w:rPr>
                  <w:t>2.4.3</w:t>
                </w:r>
                <w:r w:rsidR="00387F36">
                  <w:rPr>
                    <w:rFonts w:eastAsiaTheme="minorEastAsia"/>
                    <w:sz w:val="22"/>
                    <w:lang w:eastAsia="en-AU"/>
                  </w:rPr>
                  <w:tab/>
                </w:r>
                <w:r w:rsidR="00387F36" w:rsidRPr="007530DB">
                  <w:rPr>
                    <w:rStyle w:val="Hyperlink"/>
                  </w:rPr>
                  <w:t>Changes to gas supply and circulation routes in Victoria</w:t>
                </w:r>
                <w:r w:rsidR="00387F36">
                  <w:rPr>
                    <w:webHidden/>
                  </w:rPr>
                  <w:tab/>
                </w:r>
                <w:r w:rsidR="00387F36">
                  <w:rPr>
                    <w:webHidden/>
                  </w:rPr>
                  <w:fldChar w:fldCharType="begin"/>
                </w:r>
                <w:r w:rsidR="00387F36">
                  <w:rPr>
                    <w:webHidden/>
                  </w:rPr>
                  <w:instrText xml:space="preserve"> PAGEREF _Toc72198302 \h </w:instrText>
                </w:r>
                <w:r w:rsidR="00387F36">
                  <w:rPr>
                    <w:webHidden/>
                  </w:rPr>
                </w:r>
                <w:r w:rsidR="00387F36">
                  <w:rPr>
                    <w:webHidden/>
                  </w:rPr>
                  <w:fldChar w:fldCharType="separate"/>
                </w:r>
                <w:r w:rsidR="00387F36">
                  <w:rPr>
                    <w:webHidden/>
                  </w:rPr>
                  <w:t>2-10</w:t>
                </w:r>
                <w:r w:rsidR="00387F36">
                  <w:rPr>
                    <w:webHidden/>
                  </w:rPr>
                  <w:fldChar w:fldCharType="end"/>
                </w:r>
              </w:hyperlink>
            </w:p>
            <w:p w14:paraId="2B10431C" w14:textId="0E37C0CC" w:rsidR="00387F36" w:rsidRDefault="00BE54D2">
              <w:pPr>
                <w:pStyle w:val="TOC2"/>
                <w:rPr>
                  <w:rFonts w:eastAsiaTheme="minorEastAsia"/>
                  <w:color w:val="auto"/>
                  <w:sz w:val="22"/>
                  <w:lang w:eastAsia="en-AU"/>
                </w:rPr>
              </w:pPr>
              <w:hyperlink w:anchor="_Toc72198303" w:history="1">
                <w:r w:rsidR="00387F36" w:rsidRPr="007530DB">
                  <w:rPr>
                    <w:rStyle w:val="Hyperlink"/>
                  </w:rPr>
                  <w:t>2.5</w:t>
                </w:r>
                <w:r w:rsidR="00387F36">
                  <w:rPr>
                    <w:rFonts w:eastAsiaTheme="minorEastAsia"/>
                    <w:color w:val="auto"/>
                    <w:sz w:val="22"/>
                    <w:lang w:eastAsia="en-AU"/>
                  </w:rPr>
                  <w:tab/>
                </w:r>
                <w:r w:rsidR="00387F36" w:rsidRPr="007530DB">
                  <w:rPr>
                    <w:rStyle w:val="Hyperlink"/>
                  </w:rPr>
                  <w:t>The Project's contribution to Victoria’s energy security, efficiency and affordability</w:t>
                </w:r>
                <w:r w:rsidR="00387F36">
                  <w:rPr>
                    <w:webHidden/>
                  </w:rPr>
                  <w:tab/>
                </w:r>
                <w:r w:rsidR="00387F36">
                  <w:rPr>
                    <w:webHidden/>
                  </w:rPr>
                  <w:fldChar w:fldCharType="begin"/>
                </w:r>
                <w:r w:rsidR="00387F36">
                  <w:rPr>
                    <w:webHidden/>
                  </w:rPr>
                  <w:instrText xml:space="preserve"> PAGEREF _Toc72198303 \h </w:instrText>
                </w:r>
                <w:r w:rsidR="00387F36">
                  <w:rPr>
                    <w:webHidden/>
                  </w:rPr>
                </w:r>
                <w:r w:rsidR="00387F36">
                  <w:rPr>
                    <w:webHidden/>
                  </w:rPr>
                  <w:fldChar w:fldCharType="separate"/>
                </w:r>
                <w:r w:rsidR="00387F36">
                  <w:rPr>
                    <w:webHidden/>
                  </w:rPr>
                  <w:t>2-11</w:t>
                </w:r>
                <w:r w:rsidR="00387F36">
                  <w:rPr>
                    <w:webHidden/>
                  </w:rPr>
                  <w:fldChar w:fldCharType="end"/>
                </w:r>
              </w:hyperlink>
            </w:p>
            <w:p w14:paraId="29EB61E3" w14:textId="6508B6CF" w:rsidR="00387F36" w:rsidRDefault="00BE54D2">
              <w:pPr>
                <w:pStyle w:val="TOC3"/>
                <w:rPr>
                  <w:rFonts w:eastAsiaTheme="minorEastAsia"/>
                  <w:sz w:val="22"/>
                  <w:lang w:eastAsia="en-AU"/>
                </w:rPr>
              </w:pPr>
              <w:hyperlink w:anchor="_Toc72198304" w:history="1">
                <w:r w:rsidR="00387F36" w:rsidRPr="007530DB">
                  <w:rPr>
                    <w:rStyle w:val="Hyperlink"/>
                  </w:rPr>
                  <w:t>2.5.1</w:t>
                </w:r>
                <w:r w:rsidR="00387F36">
                  <w:rPr>
                    <w:rFonts w:eastAsiaTheme="minorEastAsia"/>
                    <w:sz w:val="22"/>
                    <w:lang w:eastAsia="en-AU"/>
                  </w:rPr>
                  <w:tab/>
                </w:r>
                <w:r w:rsidR="00387F36" w:rsidRPr="007530DB">
                  <w:rPr>
                    <w:rStyle w:val="Hyperlink"/>
                  </w:rPr>
                  <w:t>The missing link in the network</w:t>
                </w:r>
                <w:r w:rsidR="00387F36">
                  <w:rPr>
                    <w:webHidden/>
                  </w:rPr>
                  <w:tab/>
                </w:r>
                <w:r w:rsidR="00387F36">
                  <w:rPr>
                    <w:webHidden/>
                  </w:rPr>
                  <w:fldChar w:fldCharType="begin"/>
                </w:r>
                <w:r w:rsidR="00387F36">
                  <w:rPr>
                    <w:webHidden/>
                  </w:rPr>
                  <w:instrText xml:space="preserve"> PAGEREF _Toc72198304 \h </w:instrText>
                </w:r>
                <w:r w:rsidR="00387F36">
                  <w:rPr>
                    <w:webHidden/>
                  </w:rPr>
                </w:r>
                <w:r w:rsidR="00387F36">
                  <w:rPr>
                    <w:webHidden/>
                  </w:rPr>
                  <w:fldChar w:fldCharType="separate"/>
                </w:r>
                <w:r w:rsidR="00387F36">
                  <w:rPr>
                    <w:webHidden/>
                  </w:rPr>
                  <w:t>2-11</w:t>
                </w:r>
                <w:r w:rsidR="00387F36">
                  <w:rPr>
                    <w:webHidden/>
                  </w:rPr>
                  <w:fldChar w:fldCharType="end"/>
                </w:r>
              </w:hyperlink>
            </w:p>
            <w:p w14:paraId="46171DB4" w14:textId="5FAD2C27" w:rsidR="00387F36" w:rsidRDefault="00BE54D2">
              <w:pPr>
                <w:pStyle w:val="TOC3"/>
                <w:rPr>
                  <w:rFonts w:eastAsiaTheme="minorEastAsia"/>
                  <w:sz w:val="22"/>
                  <w:lang w:eastAsia="en-AU"/>
                </w:rPr>
              </w:pPr>
              <w:hyperlink w:anchor="_Toc72198305" w:history="1">
                <w:r w:rsidR="00387F36" w:rsidRPr="007530DB">
                  <w:rPr>
                    <w:rStyle w:val="Hyperlink"/>
                  </w:rPr>
                  <w:t>2.5.2</w:t>
                </w:r>
                <w:r w:rsidR="00387F36">
                  <w:rPr>
                    <w:rFonts w:eastAsiaTheme="minorEastAsia"/>
                    <w:sz w:val="22"/>
                    <w:lang w:eastAsia="en-AU"/>
                  </w:rPr>
                  <w:tab/>
                </w:r>
                <w:r w:rsidR="00387F36" w:rsidRPr="007530DB">
                  <w:rPr>
                    <w:rStyle w:val="Hyperlink"/>
                  </w:rPr>
                  <w:t>Improved compression efficiency</w:t>
                </w:r>
                <w:r w:rsidR="00387F36">
                  <w:rPr>
                    <w:webHidden/>
                  </w:rPr>
                  <w:tab/>
                </w:r>
                <w:r w:rsidR="00387F36">
                  <w:rPr>
                    <w:webHidden/>
                  </w:rPr>
                  <w:fldChar w:fldCharType="begin"/>
                </w:r>
                <w:r w:rsidR="00387F36">
                  <w:rPr>
                    <w:webHidden/>
                  </w:rPr>
                  <w:instrText xml:space="preserve"> PAGEREF _Toc72198305 \h </w:instrText>
                </w:r>
                <w:r w:rsidR="00387F36">
                  <w:rPr>
                    <w:webHidden/>
                  </w:rPr>
                </w:r>
                <w:r w:rsidR="00387F36">
                  <w:rPr>
                    <w:webHidden/>
                  </w:rPr>
                  <w:fldChar w:fldCharType="separate"/>
                </w:r>
                <w:r w:rsidR="00387F36">
                  <w:rPr>
                    <w:webHidden/>
                  </w:rPr>
                  <w:t>2-12</w:t>
                </w:r>
                <w:r w:rsidR="00387F36">
                  <w:rPr>
                    <w:webHidden/>
                  </w:rPr>
                  <w:fldChar w:fldCharType="end"/>
                </w:r>
              </w:hyperlink>
            </w:p>
            <w:p w14:paraId="7FDB4CDE" w14:textId="0521359F" w:rsidR="00387F36" w:rsidRDefault="00BE54D2">
              <w:pPr>
                <w:pStyle w:val="TOC3"/>
                <w:rPr>
                  <w:rFonts w:eastAsiaTheme="minorEastAsia"/>
                  <w:sz w:val="22"/>
                  <w:lang w:eastAsia="en-AU"/>
                </w:rPr>
              </w:pPr>
              <w:hyperlink w:anchor="_Toc72198306" w:history="1">
                <w:r w:rsidR="00387F36" w:rsidRPr="007530DB">
                  <w:rPr>
                    <w:rStyle w:val="Hyperlink"/>
                  </w:rPr>
                  <w:t>2.5.3</w:t>
                </w:r>
                <w:r w:rsidR="00387F36">
                  <w:rPr>
                    <w:rFonts w:eastAsiaTheme="minorEastAsia"/>
                    <w:sz w:val="22"/>
                    <w:lang w:eastAsia="en-AU"/>
                  </w:rPr>
                  <w:tab/>
                </w:r>
                <w:r w:rsidR="00387F36" w:rsidRPr="007530DB">
                  <w:rPr>
                    <w:rStyle w:val="Hyperlink"/>
                  </w:rPr>
                  <w:t>The Project's relationship to supply and demand</w:t>
                </w:r>
                <w:r w:rsidR="00387F36">
                  <w:rPr>
                    <w:webHidden/>
                  </w:rPr>
                  <w:tab/>
                </w:r>
                <w:r w:rsidR="00387F36">
                  <w:rPr>
                    <w:webHidden/>
                  </w:rPr>
                  <w:fldChar w:fldCharType="begin"/>
                </w:r>
                <w:r w:rsidR="00387F36">
                  <w:rPr>
                    <w:webHidden/>
                  </w:rPr>
                  <w:instrText xml:space="preserve"> PAGEREF _Toc72198306 \h </w:instrText>
                </w:r>
                <w:r w:rsidR="00387F36">
                  <w:rPr>
                    <w:webHidden/>
                  </w:rPr>
                </w:r>
                <w:r w:rsidR="00387F36">
                  <w:rPr>
                    <w:webHidden/>
                  </w:rPr>
                  <w:fldChar w:fldCharType="separate"/>
                </w:r>
                <w:r w:rsidR="00387F36">
                  <w:rPr>
                    <w:webHidden/>
                  </w:rPr>
                  <w:t>2-12</w:t>
                </w:r>
                <w:r w:rsidR="00387F36">
                  <w:rPr>
                    <w:webHidden/>
                  </w:rPr>
                  <w:fldChar w:fldCharType="end"/>
                </w:r>
              </w:hyperlink>
            </w:p>
            <w:p w14:paraId="1B20CF9F" w14:textId="6D91BE10" w:rsidR="00387F36" w:rsidRDefault="00BE54D2">
              <w:pPr>
                <w:pStyle w:val="TOC2"/>
                <w:rPr>
                  <w:rFonts w:eastAsiaTheme="minorEastAsia"/>
                  <w:color w:val="auto"/>
                  <w:sz w:val="22"/>
                  <w:lang w:eastAsia="en-AU"/>
                </w:rPr>
              </w:pPr>
              <w:hyperlink w:anchor="_Toc72198307" w:history="1">
                <w:r w:rsidR="00387F36" w:rsidRPr="007530DB">
                  <w:rPr>
                    <w:rStyle w:val="Hyperlink"/>
                  </w:rPr>
                  <w:t>2.6</w:t>
                </w:r>
                <w:r w:rsidR="00387F36">
                  <w:rPr>
                    <w:rFonts w:eastAsiaTheme="minorEastAsia"/>
                    <w:color w:val="auto"/>
                    <w:sz w:val="22"/>
                    <w:lang w:eastAsia="en-AU"/>
                  </w:rPr>
                  <w:tab/>
                </w:r>
                <w:r w:rsidR="00387F36" w:rsidRPr="007530DB">
                  <w:rPr>
                    <w:rStyle w:val="Hyperlink"/>
                  </w:rPr>
                  <w:t>Overview of Project benefits</w:t>
                </w:r>
                <w:r w:rsidR="00387F36">
                  <w:rPr>
                    <w:webHidden/>
                  </w:rPr>
                  <w:tab/>
                </w:r>
                <w:r w:rsidR="00387F36">
                  <w:rPr>
                    <w:webHidden/>
                  </w:rPr>
                  <w:fldChar w:fldCharType="begin"/>
                </w:r>
                <w:r w:rsidR="00387F36">
                  <w:rPr>
                    <w:webHidden/>
                  </w:rPr>
                  <w:instrText xml:space="preserve"> PAGEREF _Toc72198307 \h </w:instrText>
                </w:r>
                <w:r w:rsidR="00387F36">
                  <w:rPr>
                    <w:webHidden/>
                  </w:rPr>
                </w:r>
                <w:r w:rsidR="00387F36">
                  <w:rPr>
                    <w:webHidden/>
                  </w:rPr>
                  <w:fldChar w:fldCharType="separate"/>
                </w:r>
                <w:r w:rsidR="00387F36">
                  <w:rPr>
                    <w:webHidden/>
                  </w:rPr>
                  <w:t>2-13</w:t>
                </w:r>
                <w:r w:rsidR="00387F36">
                  <w:rPr>
                    <w:webHidden/>
                  </w:rPr>
                  <w:fldChar w:fldCharType="end"/>
                </w:r>
              </w:hyperlink>
            </w:p>
            <w:p w14:paraId="7BB91EBE" w14:textId="54C9BAB0" w:rsidR="000E7A0C" w:rsidRDefault="000E7A0C" w:rsidP="000E7A0C">
              <w:pPr>
                <w:pStyle w:val="TOC2"/>
              </w:pPr>
              <w:r w:rsidRPr="000E7A0C">
                <w:fldChar w:fldCharType="end"/>
              </w:r>
            </w:p>
          </w:sdtContent>
        </w:sdt>
        <w:p w14:paraId="0CEAE0FC" w14:textId="374E657B" w:rsidR="00DD44A7" w:rsidRPr="000E7A0C" w:rsidRDefault="00BE54D2" w:rsidP="00A21E1D"/>
      </w:sdtContent>
    </w:sdt>
    <w:bookmarkEnd w:id="6"/>
    <w:bookmarkEnd w:id="5"/>
    <w:p w14:paraId="747E4E02" w14:textId="60F040C2" w:rsidR="00AC7482" w:rsidRDefault="00AC7482" w:rsidP="00AC7482">
      <w:pPr>
        <w:pStyle w:val="Source"/>
      </w:pPr>
    </w:p>
    <w:p w14:paraId="094AB5A1" w14:textId="77777777" w:rsidR="00AC7482" w:rsidRDefault="00AC7482" w:rsidP="00AC7482">
      <w:pPr>
        <w:pStyle w:val="BodyText"/>
        <w:sectPr w:rsidR="00AC7482" w:rsidSect="000E7A0C">
          <w:headerReference w:type="first" r:id="rId19"/>
          <w:type w:val="oddPage"/>
          <w:pgSz w:w="11906" w:h="16838" w:code="9"/>
          <w:pgMar w:top="1418" w:right="1418" w:bottom="1418" w:left="1418" w:header="567" w:footer="567" w:gutter="0"/>
          <w:pgNumType w:fmt="lowerRoman" w:start="1"/>
          <w:cols w:space="708"/>
          <w:docGrid w:linePitch="360"/>
        </w:sectPr>
      </w:pPr>
    </w:p>
    <w:p w14:paraId="0893E5FD" w14:textId="2245B34C" w:rsidR="003C7278" w:rsidRPr="00387F36" w:rsidRDefault="003C7278" w:rsidP="008A59B9">
      <w:pPr>
        <w:pStyle w:val="Heading2"/>
      </w:pPr>
      <w:bookmarkStart w:id="7" w:name="_Toc70878575"/>
      <w:bookmarkStart w:id="8" w:name="_Toc72198291"/>
      <w:r w:rsidRPr="00387F36">
        <w:lastRenderedPageBreak/>
        <w:t>Introduction</w:t>
      </w:r>
      <w:bookmarkEnd w:id="7"/>
      <w:bookmarkEnd w:id="8"/>
    </w:p>
    <w:p w14:paraId="498BE026" w14:textId="4FC8A28E" w:rsidR="003C7278" w:rsidRDefault="003C7278" w:rsidP="003C7278">
      <w:pPr>
        <w:pStyle w:val="BodyText"/>
      </w:pPr>
      <w:r>
        <w:t>Th</w:t>
      </w:r>
      <w:r w:rsidR="00D93997">
        <w:t>is</w:t>
      </w:r>
      <w:r>
        <w:t xml:space="preserve"> chapter considers the need for the </w:t>
      </w:r>
      <w:r w:rsidR="00D93997" w:rsidRPr="00D93997">
        <w:t>Western Outer Ring Main (WORM) gas pipeline project (the</w:t>
      </w:r>
      <w:r w:rsidR="006510D1">
        <w:t> </w:t>
      </w:r>
      <w:r w:rsidR="00D93997" w:rsidRPr="00D93997">
        <w:t>Project)</w:t>
      </w:r>
      <w:r w:rsidR="00D93997" w:rsidRPr="00D93997" w:rsidDel="00D93997">
        <w:t xml:space="preserve"> </w:t>
      </w:r>
      <w:r>
        <w:t>in the context of:</w:t>
      </w:r>
    </w:p>
    <w:p w14:paraId="1622FEAE" w14:textId="6A8F2E3D" w:rsidR="003C7278" w:rsidRPr="003C7278" w:rsidRDefault="003C7278" w:rsidP="003C7278">
      <w:pPr>
        <w:pStyle w:val="BodyBullet1"/>
      </w:pPr>
      <w:r>
        <w:t>Gas usage and the importance of gas</w:t>
      </w:r>
      <w:r w:rsidRPr="003C7278">
        <w:t xml:space="preserve"> supply and transmission to support Victoria’s energy security, efficiency and affordability goals</w:t>
      </w:r>
    </w:p>
    <w:p w14:paraId="579109C3" w14:textId="77777777" w:rsidR="003C7278" w:rsidRPr="003C7278" w:rsidRDefault="003C7278" w:rsidP="003C7278">
      <w:pPr>
        <w:pStyle w:val="BodyBullet1"/>
      </w:pPr>
      <w:r>
        <w:t>Recent c</w:t>
      </w:r>
      <w:r w:rsidRPr="003C7278">
        <w:t>hanges in gas supply and gas circulation around the Victorian gas network</w:t>
      </w:r>
    </w:p>
    <w:p w14:paraId="723072A6" w14:textId="77777777" w:rsidR="003C7278" w:rsidRPr="003C7278" w:rsidRDefault="003C7278" w:rsidP="003C7278">
      <w:pPr>
        <w:pStyle w:val="BodyBullet1"/>
      </w:pPr>
      <w:r>
        <w:t xml:space="preserve">Gas network </w:t>
      </w:r>
      <w:r w:rsidRPr="003C7278">
        <w:t>infrastructure constraints.</w:t>
      </w:r>
    </w:p>
    <w:p w14:paraId="47AB5153" w14:textId="0477B473" w:rsidR="003C7278" w:rsidRPr="003612CA" w:rsidRDefault="003C7278" w:rsidP="003C7278">
      <w:pPr>
        <w:pStyle w:val="BodyText"/>
      </w:pPr>
      <w:r>
        <w:t xml:space="preserve">Key benefits expected to be derived from the </w:t>
      </w:r>
      <w:r w:rsidR="002741E1">
        <w:t xml:space="preserve">Project </w:t>
      </w:r>
      <w:r>
        <w:t>are also discussed in this chapter, including how</w:t>
      </w:r>
      <w:r w:rsidR="006510D1">
        <w:t> </w:t>
      </w:r>
      <w:r>
        <w:t xml:space="preserve">the Project </w:t>
      </w:r>
      <w:r w:rsidR="00A21E1D">
        <w:t>would</w:t>
      </w:r>
      <w:r>
        <w:t xml:space="preserve"> support greater energy security and gas network reliability for Victorians in the</w:t>
      </w:r>
      <w:r w:rsidR="006510D1">
        <w:t> </w:t>
      </w:r>
      <w:r>
        <w:t>future.</w:t>
      </w:r>
    </w:p>
    <w:p w14:paraId="125BC348" w14:textId="77777777" w:rsidR="003C7278" w:rsidRPr="00387F36" w:rsidRDefault="003C7278" w:rsidP="008A59B9">
      <w:pPr>
        <w:pStyle w:val="Heading2"/>
      </w:pPr>
      <w:bookmarkStart w:id="9" w:name="_Toc70878576"/>
      <w:bookmarkStart w:id="10" w:name="_Toc72198292"/>
      <w:r w:rsidRPr="00387F36">
        <w:t>How we use natural gas in Victoria</w:t>
      </w:r>
      <w:bookmarkEnd w:id="9"/>
      <w:bookmarkEnd w:id="10"/>
    </w:p>
    <w:p w14:paraId="655F6ABC" w14:textId="77777777" w:rsidR="003C7278" w:rsidRPr="00387F36" w:rsidRDefault="003C7278" w:rsidP="00387F36">
      <w:pPr>
        <w:pStyle w:val="Heading3"/>
      </w:pPr>
      <w:bookmarkStart w:id="11" w:name="_Toc70878577"/>
      <w:bookmarkStart w:id="12" w:name="_Toc72198293"/>
      <w:r w:rsidRPr="00387F36">
        <w:t>Gas consumption</w:t>
      </w:r>
      <w:bookmarkEnd w:id="11"/>
      <w:bookmarkEnd w:id="12"/>
    </w:p>
    <w:p w14:paraId="188E9660" w14:textId="19867970" w:rsidR="003C7278" w:rsidRDefault="003C7278" w:rsidP="009C0B31">
      <w:pPr>
        <w:pStyle w:val="BodyText"/>
      </w:pPr>
      <w:r w:rsidRPr="000F3765">
        <w:t xml:space="preserve">Natural gas is an essential source of energy for Victoria, with approximately </w:t>
      </w:r>
      <w:r w:rsidR="00E21AFA">
        <w:t>two</w:t>
      </w:r>
      <w:r w:rsidRPr="000F3765">
        <w:t xml:space="preserve"> million customers using gas every day for domestic applications including cooking, heating and hot water. </w:t>
      </w:r>
    </w:p>
    <w:p w14:paraId="312B9FD1" w14:textId="16BFC57C" w:rsidR="003C7278" w:rsidRDefault="003C7278" w:rsidP="009C0B31">
      <w:pPr>
        <w:pStyle w:val="BodyText"/>
      </w:pPr>
      <w:r w:rsidRPr="000F3765">
        <w:t xml:space="preserve">Gas is also a critical fuel for </w:t>
      </w:r>
      <w:r>
        <w:t xml:space="preserve">a wide range of industries such as manufacturing, waste disposal and energy generation, with </w:t>
      </w:r>
      <w:r w:rsidRPr="000F3765">
        <w:t xml:space="preserve">approximately 60,000 industrial and commercial </w:t>
      </w:r>
      <w:r>
        <w:t>customers using natural gas</w:t>
      </w:r>
      <w:r w:rsidRPr="000F3765">
        <w:t xml:space="preserve"> </w:t>
      </w:r>
      <w:r>
        <w:t>across the state. This includes the growing renewable energy industry</w:t>
      </w:r>
      <w:r w:rsidR="00E21AFA">
        <w:t>,</w:t>
      </w:r>
      <w:r>
        <w:t xml:space="preserve"> which uses </w:t>
      </w:r>
      <w:r w:rsidR="005C38E1">
        <w:t>gas-fired peak</w:t>
      </w:r>
      <w:r w:rsidR="00BD1A9B">
        <w:t>ing</w:t>
      </w:r>
      <w:r w:rsidR="005C38E1">
        <w:t xml:space="preserve"> power stations</w:t>
      </w:r>
      <w:r>
        <w:t xml:space="preserve"> </w:t>
      </w:r>
      <w:r w:rsidR="00E21AFA">
        <w:t xml:space="preserve">(that is, power stations that generally only run when there is high demand) </w:t>
      </w:r>
      <w:r>
        <w:t>to support renewable energy generation. Victoria is also a net exporter of gas to other states via the gas transmission network.</w:t>
      </w:r>
    </w:p>
    <w:p w14:paraId="719EDE94" w14:textId="169E04D4" w:rsidR="003C7278" w:rsidRDefault="003C7278" w:rsidP="009C0B31">
      <w:pPr>
        <w:pStyle w:val="BodyText"/>
      </w:pPr>
      <w:r>
        <w:t>Gas consumption in Victoria averages around 200 petajoules (PJ) every year</w:t>
      </w:r>
      <w:r w:rsidR="00E762DA">
        <w:rPr>
          <w:rStyle w:val="FootnoteReference"/>
        </w:rPr>
        <w:footnoteReference w:id="2"/>
      </w:r>
      <w:r>
        <w:t>, making it a significant contributor to the state’s energy mix</w:t>
      </w:r>
      <w:r w:rsidR="00D6136D">
        <w:t>.</w:t>
      </w:r>
    </w:p>
    <w:p w14:paraId="5563A11B" w14:textId="231025B2" w:rsidR="00C11191" w:rsidRDefault="003C7278" w:rsidP="009C0B31">
      <w:pPr>
        <w:pStyle w:val="BodyText"/>
      </w:pPr>
      <w:r>
        <w:t>The Victorian economy is highly dependent on gas</w:t>
      </w:r>
      <w:r w:rsidR="00E21AFA">
        <w:t>,</w:t>
      </w:r>
      <w:r>
        <w:t xml:space="preserve"> with the state’s usage accounting for approximately 50 per cent of gas demand in south-eastern Australia.</w:t>
      </w:r>
    </w:p>
    <w:p w14:paraId="281F4D48" w14:textId="179DF3E5" w:rsidR="00C11191" w:rsidRDefault="00C11191" w:rsidP="009C0B31">
      <w:pPr>
        <w:pStyle w:val="BodyText"/>
      </w:pPr>
      <w:r>
        <w:t xml:space="preserve">Over the coming decades gas is expected to be a key contributor to Victoria's evolving energy mix, supporting the state in its transition towards a cleaner energy future. This is discussed in further detail at Section </w:t>
      </w:r>
      <w:r>
        <w:fldChar w:fldCharType="begin"/>
      </w:r>
      <w:r>
        <w:instrText xml:space="preserve"> REF _Ref45810413 \r \h </w:instrText>
      </w:r>
      <w:r>
        <w:fldChar w:fldCharType="separate"/>
      </w:r>
      <w:r w:rsidR="00387F36">
        <w:t>2.3.3</w:t>
      </w:r>
      <w:r>
        <w:fldChar w:fldCharType="end"/>
      </w:r>
      <w:r>
        <w:t xml:space="preserve"> of this </w:t>
      </w:r>
      <w:r w:rsidR="00E21AFA">
        <w:t>c</w:t>
      </w:r>
      <w:r>
        <w:t>hapter.</w:t>
      </w:r>
    </w:p>
    <w:p w14:paraId="4EB76088" w14:textId="77777777" w:rsidR="003C7278" w:rsidRPr="00387F36" w:rsidRDefault="003C7278" w:rsidP="00387F36">
      <w:pPr>
        <w:pStyle w:val="Heading3"/>
      </w:pPr>
      <w:bookmarkStart w:id="13" w:name="_Toc70878578"/>
      <w:bookmarkStart w:id="14" w:name="_Toc72198294"/>
      <w:r w:rsidRPr="00387F36">
        <w:lastRenderedPageBreak/>
        <w:t>Gas demand</w:t>
      </w:r>
      <w:bookmarkEnd w:id="13"/>
      <w:bookmarkEnd w:id="14"/>
    </w:p>
    <w:p w14:paraId="348014AA" w14:textId="2C21BDB8" w:rsidR="003C7278" w:rsidRDefault="003C7278" w:rsidP="009C0B31">
      <w:pPr>
        <w:pStyle w:val="BodyText"/>
      </w:pPr>
      <w:r>
        <w:t xml:space="preserve">Gas demand in Victoria is primarily driven by the residential and </w:t>
      </w:r>
      <w:r w:rsidR="007F2BEA">
        <w:t xml:space="preserve">small </w:t>
      </w:r>
      <w:r>
        <w:t xml:space="preserve">commercial sectors. This differs </w:t>
      </w:r>
      <w:r w:rsidR="00D93997">
        <w:t xml:space="preserve">from </w:t>
      </w:r>
      <w:r>
        <w:t>other states</w:t>
      </w:r>
      <w:r w:rsidR="00D93997">
        <w:t>,</w:t>
      </w:r>
      <w:r>
        <w:t xml:space="preserve"> such as Queensland, where gas demand from industrial</w:t>
      </w:r>
      <w:r w:rsidR="007F2BEA">
        <w:t xml:space="preserve"> and large commercial </w:t>
      </w:r>
      <w:r>
        <w:t>and gas-powered energy generators</w:t>
      </w:r>
      <w:r w:rsidR="007F2BEA">
        <w:t xml:space="preserve"> (GPG</w:t>
      </w:r>
      <w:r w:rsidR="00E21AFA">
        <w:t>s</w:t>
      </w:r>
      <w:r w:rsidR="007F2BEA">
        <w:t>)</w:t>
      </w:r>
      <w:r>
        <w:t xml:space="preserve"> far outweigh</w:t>
      </w:r>
      <w:r w:rsidR="00D93997">
        <w:t>s</w:t>
      </w:r>
      <w:r>
        <w:t xml:space="preserve"> demand from the residential and </w:t>
      </w:r>
      <w:r w:rsidR="007F2BEA">
        <w:t xml:space="preserve">small </w:t>
      </w:r>
      <w:r>
        <w:t xml:space="preserve">commercial sectors. </w:t>
      </w:r>
      <w:r w:rsidR="00D93997">
        <w:t>Victoria experiences peak demand for gas d</w:t>
      </w:r>
      <w:r>
        <w:t xml:space="preserve">uring </w:t>
      </w:r>
      <w:r w:rsidR="00D93997">
        <w:t xml:space="preserve">the </w:t>
      </w:r>
      <w:r>
        <w:t xml:space="preserve">winter months, </w:t>
      </w:r>
      <w:r w:rsidR="00D93997">
        <w:t>when</w:t>
      </w:r>
      <w:r>
        <w:t xml:space="preserve"> consumption of hot water and</w:t>
      </w:r>
      <w:r w:rsidR="007B223C">
        <w:t xml:space="preserve"> use of</w:t>
      </w:r>
      <w:r>
        <w:t xml:space="preserve"> heating increases, and broader demand pressure is placed on energy generators. </w:t>
      </w:r>
      <w:r w:rsidR="000004DB">
        <w:t>As shown in</w:t>
      </w:r>
      <w:r w:rsidR="00522DC7">
        <w:t xml:space="preserve"> </w:t>
      </w:r>
      <w:r w:rsidR="00522DC7">
        <w:fldChar w:fldCharType="begin"/>
      </w:r>
      <w:r w:rsidR="00522DC7">
        <w:instrText xml:space="preserve"> REF _Ref47520210 \h </w:instrText>
      </w:r>
      <w:r w:rsidR="00522DC7">
        <w:fldChar w:fldCharType="separate"/>
      </w:r>
      <w:r w:rsidR="00387F36" w:rsidDel="00077500">
        <w:t>Figure</w:t>
      </w:r>
      <w:r w:rsidR="00387F36">
        <w:t> </w:t>
      </w:r>
      <w:r w:rsidR="00387F36">
        <w:rPr>
          <w:noProof/>
        </w:rPr>
        <w:t>2</w:t>
      </w:r>
      <w:r w:rsidR="00387F36" w:rsidDel="00077500">
        <w:noBreakHyphen/>
      </w:r>
      <w:r w:rsidR="00387F36">
        <w:rPr>
          <w:noProof/>
        </w:rPr>
        <w:t>1</w:t>
      </w:r>
      <w:r w:rsidR="00522DC7">
        <w:fldChar w:fldCharType="end"/>
      </w:r>
      <w:r w:rsidR="000004DB">
        <w:t>, g</w:t>
      </w:r>
      <w:r>
        <w:t xml:space="preserve">as consumption over the Victorian winter (approximately </w:t>
      </w:r>
      <w:r w:rsidR="0000062A">
        <w:t>880</w:t>
      </w:r>
      <w:r w:rsidR="008D6BAB">
        <w:t xml:space="preserve"> TJ/day</w:t>
      </w:r>
      <w:r w:rsidR="0000062A">
        <w:t xml:space="preserve"> in July</w:t>
      </w:r>
      <w:r>
        <w:t xml:space="preserve">) is up to three times higher than </w:t>
      </w:r>
      <w:r w:rsidR="00D93997">
        <w:t xml:space="preserve">during </w:t>
      </w:r>
      <w:r>
        <w:t>summer.</w:t>
      </w:r>
    </w:p>
    <w:p w14:paraId="436CE6A3" w14:textId="35B0BB93" w:rsidR="00522DC7" w:rsidDel="00077500" w:rsidRDefault="00522DC7" w:rsidP="00522DC7">
      <w:pPr>
        <w:pStyle w:val="Caption"/>
      </w:pPr>
      <w:bookmarkStart w:id="15" w:name="_Ref47520210"/>
      <w:r w:rsidDel="00077500">
        <w:t>Figure</w:t>
      </w:r>
      <w:r w:rsidR="006510D1">
        <w:t> </w:t>
      </w:r>
      <w:r w:rsidR="00BE54D2">
        <w:fldChar w:fldCharType="begin"/>
      </w:r>
      <w:r w:rsidR="00BE54D2">
        <w:instrText xml:space="preserve"> STYLEREF 1 \s </w:instrText>
      </w:r>
      <w:r w:rsidR="00BE54D2">
        <w:fldChar w:fldCharType="separate"/>
      </w:r>
      <w:r w:rsidR="00387F36">
        <w:rPr>
          <w:noProof/>
        </w:rPr>
        <w:t>2</w:t>
      </w:r>
      <w:r w:rsidR="00BE54D2">
        <w:rPr>
          <w:noProof/>
        </w:rPr>
        <w:fldChar w:fldCharType="end"/>
      </w:r>
      <w:r w:rsidR="004B09E7" w:rsidDel="00077500">
        <w:noBreakHyphen/>
      </w:r>
      <w:r w:rsidR="00BE54D2">
        <w:fldChar w:fldCharType="begin"/>
      </w:r>
      <w:r w:rsidR="00BE54D2">
        <w:instrText xml:space="preserve"> SEQ Figure \* ARABIC \s 1 </w:instrText>
      </w:r>
      <w:r w:rsidR="00BE54D2">
        <w:fldChar w:fldCharType="separate"/>
      </w:r>
      <w:r w:rsidR="00387F36">
        <w:rPr>
          <w:noProof/>
        </w:rPr>
        <w:t>1</w:t>
      </w:r>
      <w:r w:rsidR="00BE54D2">
        <w:rPr>
          <w:noProof/>
        </w:rPr>
        <w:fldChar w:fldCharType="end"/>
      </w:r>
      <w:bookmarkEnd w:id="15"/>
      <w:r w:rsidR="00774D83">
        <w:tab/>
      </w:r>
      <w:r w:rsidDel="00077500">
        <w:t>Seasonal gas demand variance</w:t>
      </w:r>
      <w:r w:rsidDel="00077500">
        <w:rPr>
          <w:rStyle w:val="FootnoteReference"/>
        </w:rPr>
        <w:footnoteReference w:id="3"/>
      </w:r>
    </w:p>
    <w:p w14:paraId="486C2AD6" w14:textId="499BD028" w:rsidR="000004DB" w:rsidRDefault="00E624F0" w:rsidP="006510D1">
      <w:pPr>
        <w:pStyle w:val="Object"/>
      </w:pPr>
      <w:r w:rsidRPr="00E624F0">
        <w:rPr>
          <w:noProof/>
        </w:rPr>
        <w:drawing>
          <wp:inline distT="0" distB="0" distL="0" distR="0" wp14:anchorId="2C008EAB" wp14:editId="49F3F74C">
            <wp:extent cx="5760000" cy="3232800"/>
            <wp:effectExtent l="0" t="0" r="0" b="5715"/>
            <wp:docPr id="2" name="Picture 2" descr="This figure shows a bar chart of the seasonal gas demand variance by each month,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figure shows a bar chart of the seasonal gas demand variance by each month, as described in the text abov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00" cy="3232800"/>
                    </a:xfrm>
                    <a:prstGeom prst="rect">
                      <a:avLst/>
                    </a:prstGeom>
                    <a:noFill/>
                    <a:ln>
                      <a:noFill/>
                    </a:ln>
                  </pic:spPr>
                </pic:pic>
              </a:graphicData>
            </a:graphic>
          </wp:inline>
        </w:drawing>
      </w:r>
    </w:p>
    <w:p w14:paraId="798D6033" w14:textId="77777777" w:rsidR="006510D1" w:rsidRPr="006510D1" w:rsidRDefault="006510D1" w:rsidP="006510D1">
      <w:pPr>
        <w:pStyle w:val="Source"/>
      </w:pPr>
    </w:p>
    <w:p w14:paraId="30A5871D" w14:textId="242854C8" w:rsidR="003C7278" w:rsidRDefault="003C7278" w:rsidP="009C0B31">
      <w:pPr>
        <w:pStyle w:val="BodyText"/>
      </w:pPr>
      <w:r>
        <w:t xml:space="preserve">To </w:t>
      </w:r>
      <w:r w:rsidR="00E21AFA">
        <w:t xml:space="preserve">manage </w:t>
      </w:r>
      <w:r>
        <w:t xml:space="preserve">this </w:t>
      </w:r>
      <w:r w:rsidR="00E21AFA">
        <w:t xml:space="preserve">seasonal </w:t>
      </w:r>
      <w:r>
        <w:t xml:space="preserve">variance, Victoria’s gas network allows for the transfer and storage of </w:t>
      </w:r>
      <w:r w:rsidR="00EB1BC8">
        <w:t xml:space="preserve">surplus </w:t>
      </w:r>
      <w:r>
        <w:t>gas during summer months, whe</w:t>
      </w:r>
      <w:r w:rsidR="00E21AFA">
        <w:t>n</w:t>
      </w:r>
      <w:r>
        <w:t xml:space="preserve"> demand is lower, </w:t>
      </w:r>
      <w:r w:rsidR="00EB1BC8">
        <w:t xml:space="preserve">in preparation for higher </w:t>
      </w:r>
      <w:r>
        <w:t xml:space="preserve">demand </w:t>
      </w:r>
      <w:r w:rsidR="00EB1BC8">
        <w:t xml:space="preserve">during </w:t>
      </w:r>
      <w:r>
        <w:t xml:space="preserve">the winter and </w:t>
      </w:r>
      <w:r w:rsidR="00EB1BC8">
        <w:t xml:space="preserve">to </w:t>
      </w:r>
      <w:r>
        <w:t>cover seasonal shortfalls in supply.</w:t>
      </w:r>
      <w:r w:rsidR="00A86903">
        <w:t xml:space="preserve"> </w:t>
      </w:r>
    </w:p>
    <w:p w14:paraId="0EB48C9F" w14:textId="0068B00B" w:rsidR="00A86903" w:rsidRDefault="007F2BEA" w:rsidP="009C0B31">
      <w:pPr>
        <w:pStyle w:val="BodyText"/>
      </w:pPr>
      <w:r>
        <w:t xml:space="preserve">As shown in </w:t>
      </w:r>
      <w:r w:rsidR="00522DC7">
        <w:fldChar w:fldCharType="begin"/>
      </w:r>
      <w:r w:rsidR="00522DC7">
        <w:instrText xml:space="preserve"> REF _Ref47520234 \h </w:instrText>
      </w:r>
      <w:r w:rsidR="00522DC7">
        <w:fldChar w:fldCharType="separate"/>
      </w:r>
      <w:r w:rsidR="00387F36" w:rsidDel="00077500">
        <w:t>Figure</w:t>
      </w:r>
      <w:r w:rsidR="00387F36">
        <w:t> </w:t>
      </w:r>
      <w:r w:rsidR="00387F36">
        <w:rPr>
          <w:noProof/>
        </w:rPr>
        <w:t>2</w:t>
      </w:r>
      <w:r w:rsidR="00387F36" w:rsidDel="00077500">
        <w:noBreakHyphen/>
      </w:r>
      <w:r w:rsidR="00387F36">
        <w:rPr>
          <w:noProof/>
        </w:rPr>
        <w:t>2</w:t>
      </w:r>
      <w:r w:rsidR="00522DC7">
        <w:fldChar w:fldCharType="end"/>
      </w:r>
      <w:r>
        <w:t>, g</w:t>
      </w:r>
      <w:r w:rsidR="003C7278">
        <w:t xml:space="preserve">as demand is expected to </w:t>
      </w:r>
      <w:r w:rsidR="00A152DD">
        <w:t>reduce</w:t>
      </w:r>
      <w:r w:rsidR="003C7278">
        <w:t xml:space="preserve"> over coming years</w:t>
      </w:r>
      <w:r w:rsidR="00EB1BC8">
        <w:t>,</w:t>
      </w:r>
      <w:r w:rsidR="003C7278">
        <w:t xml:space="preserve"> with a decrease in yearly demand </w:t>
      </w:r>
      <w:r w:rsidR="00EB1BC8" w:rsidRPr="00EB1BC8">
        <w:t xml:space="preserve">of </w:t>
      </w:r>
      <w:r w:rsidR="00E72161">
        <w:t>5.8</w:t>
      </w:r>
      <w:r w:rsidR="00EB1BC8" w:rsidRPr="00EB1BC8">
        <w:t xml:space="preserve"> per cent</w:t>
      </w:r>
      <w:r w:rsidR="00EB1BC8" w:rsidRPr="00EB1BC8">
        <w:rPr>
          <w:rStyle w:val="FootnoteReference"/>
        </w:rPr>
        <w:footnoteReference w:id="4"/>
      </w:r>
      <w:r w:rsidR="00EB1BC8">
        <w:t xml:space="preserve"> </w:t>
      </w:r>
      <w:r w:rsidR="003C7278">
        <w:t>across Victoria’s Declared Transmission System (DTS) expected between 202</w:t>
      </w:r>
      <w:r w:rsidR="00E72161">
        <w:t>1</w:t>
      </w:r>
      <w:r w:rsidR="003C7278">
        <w:t xml:space="preserve"> and 202</w:t>
      </w:r>
      <w:r w:rsidR="00E72161">
        <w:t>5</w:t>
      </w:r>
      <w:r w:rsidR="003C7278">
        <w:t>. This is attributable to expected behavioural changes in large commercial and industrial consumption and also changes to gas-powered generation</w:t>
      </w:r>
      <w:r>
        <w:t xml:space="preserve"> </w:t>
      </w:r>
      <w:r w:rsidR="003C7278">
        <w:t xml:space="preserve">demand as a result of </w:t>
      </w:r>
      <w:r w:rsidR="00E72161">
        <w:t>increased certainty in energy savings from the Victorian Energy Upgrades (VE</w:t>
      </w:r>
      <w:r w:rsidR="00733007">
        <w:t>U</w:t>
      </w:r>
      <w:r w:rsidR="00E72161">
        <w:t xml:space="preserve">) program and Large Energy Users (LEU) program, and </w:t>
      </w:r>
      <w:r w:rsidR="003C7278">
        <w:t>forecast</w:t>
      </w:r>
      <w:r w:rsidR="00E72161">
        <w:t>ed</w:t>
      </w:r>
      <w:r w:rsidR="003C7278">
        <w:t xml:space="preserve"> renewable energy projects expected to be commissioned. </w:t>
      </w:r>
    </w:p>
    <w:p w14:paraId="1F77D572" w14:textId="3ECF7DF2" w:rsidR="000004DB" w:rsidRDefault="003C7278" w:rsidP="009C0B31">
      <w:pPr>
        <w:pStyle w:val="BodyText"/>
      </w:pPr>
      <w:r>
        <w:lastRenderedPageBreak/>
        <w:t>If forecast investments in renewable energy generation are delayed or do not proceed</w:t>
      </w:r>
      <w:r w:rsidR="00EB1BC8">
        <w:t>,</w:t>
      </w:r>
      <w:r>
        <w:t xml:space="preserve"> however, or if</w:t>
      </w:r>
      <w:r w:rsidR="006510D1">
        <w:t> </w:t>
      </w:r>
      <w:r>
        <w:t>reliance on coal-fired generators reduce</w:t>
      </w:r>
      <w:r w:rsidR="00EB1BC8">
        <w:t>s</w:t>
      </w:r>
      <w:r>
        <w:t xml:space="preserve"> over this period, gas demand forecasts for Victoria</w:t>
      </w:r>
      <w:r w:rsidR="007B223C">
        <w:rPr>
          <w:rStyle w:val="FootnoteReference"/>
        </w:rPr>
        <w:footnoteReference w:id="5"/>
      </w:r>
      <w:r w:rsidR="00EB1BC8">
        <w:t xml:space="preserve"> </w:t>
      </w:r>
      <w:r w:rsidR="00EB1BC8" w:rsidRPr="00EB1BC8">
        <w:t>could</w:t>
      </w:r>
      <w:r w:rsidR="006510D1">
        <w:t> </w:t>
      </w:r>
      <w:r w:rsidR="00EB1BC8" w:rsidRPr="00EB1BC8">
        <w:t>increase</w:t>
      </w:r>
      <w:r w:rsidRPr="00EB1BC8">
        <w:t>.</w:t>
      </w:r>
    </w:p>
    <w:p w14:paraId="1062E413" w14:textId="0BA015D9" w:rsidR="000004DB" w:rsidDel="00077500" w:rsidRDefault="000004DB" w:rsidP="000004DB">
      <w:pPr>
        <w:pStyle w:val="Caption"/>
      </w:pPr>
      <w:bookmarkStart w:id="16" w:name="_Ref47520234"/>
      <w:r w:rsidDel="00077500">
        <w:t>Figure</w:t>
      </w:r>
      <w:r w:rsidR="006510D1">
        <w:t> </w:t>
      </w:r>
      <w:r w:rsidR="00BE54D2">
        <w:fldChar w:fldCharType="begin"/>
      </w:r>
      <w:r w:rsidR="00BE54D2">
        <w:instrText xml:space="preserve"> STYLEREF 1 \s </w:instrText>
      </w:r>
      <w:r w:rsidR="00BE54D2">
        <w:fldChar w:fldCharType="separate"/>
      </w:r>
      <w:r w:rsidR="00387F36">
        <w:rPr>
          <w:noProof/>
        </w:rPr>
        <w:t>2</w:t>
      </w:r>
      <w:r w:rsidR="00BE54D2">
        <w:rPr>
          <w:noProof/>
        </w:rPr>
        <w:fldChar w:fldCharType="end"/>
      </w:r>
      <w:r w:rsidR="004B09E7" w:rsidDel="00077500">
        <w:noBreakHyphen/>
      </w:r>
      <w:r w:rsidR="00BE54D2">
        <w:fldChar w:fldCharType="begin"/>
      </w:r>
      <w:r w:rsidR="00BE54D2">
        <w:instrText xml:space="preserve"> SEQ Figure \* ARABIC \s 1 </w:instrText>
      </w:r>
      <w:r w:rsidR="00BE54D2">
        <w:fldChar w:fldCharType="separate"/>
      </w:r>
      <w:r w:rsidR="00387F36">
        <w:rPr>
          <w:noProof/>
        </w:rPr>
        <w:t>2</w:t>
      </w:r>
      <w:r w:rsidR="00BE54D2">
        <w:rPr>
          <w:noProof/>
        </w:rPr>
        <w:fldChar w:fldCharType="end"/>
      </w:r>
      <w:bookmarkEnd w:id="16"/>
      <w:r w:rsidR="00774D83">
        <w:tab/>
      </w:r>
      <w:r w:rsidDel="00077500">
        <w:t>Total annual DTS consumption, actual 201</w:t>
      </w:r>
      <w:r w:rsidR="00E624F0">
        <w:t>6</w:t>
      </w:r>
      <w:r w:rsidDel="00077500">
        <w:t>-</w:t>
      </w:r>
      <w:r w:rsidR="00E624F0">
        <w:t>20</w:t>
      </w:r>
      <w:r w:rsidDel="00077500">
        <w:t xml:space="preserve"> and forecast 202</w:t>
      </w:r>
      <w:r w:rsidR="00E624F0">
        <w:t>1</w:t>
      </w:r>
      <w:r w:rsidDel="00077500">
        <w:t>-2</w:t>
      </w:r>
      <w:r w:rsidR="00E624F0">
        <w:t>5</w:t>
      </w:r>
      <w:r w:rsidDel="00077500">
        <w:t xml:space="preserve"> (PJ/y)</w:t>
      </w:r>
      <w:r w:rsidR="006510D1">
        <w:rPr>
          <w:rStyle w:val="FootnoteReference"/>
        </w:rPr>
        <w:footnoteReference w:id="6"/>
      </w:r>
      <w:r w:rsidR="007F2BEA" w:rsidDel="00077500">
        <w:t xml:space="preserve"> </w:t>
      </w:r>
    </w:p>
    <w:p w14:paraId="1C68890F" w14:textId="518188BA" w:rsidR="003C7278" w:rsidRDefault="00E624F0" w:rsidP="006510D1">
      <w:pPr>
        <w:pStyle w:val="Object"/>
      </w:pPr>
      <w:r w:rsidRPr="00E624F0">
        <w:rPr>
          <w:noProof/>
        </w:rPr>
        <w:drawing>
          <wp:inline distT="0" distB="0" distL="0" distR="0" wp14:anchorId="43DC6285" wp14:editId="6A6F0E50">
            <wp:extent cx="5759450" cy="2995295"/>
            <wp:effectExtent l="0" t="0" r="0" b="0"/>
            <wp:docPr id="12" name="Picture 12" descr="This figure shows a bar chart of the actual and forecast annual DTS consumption,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figure shows a bar chart of the actual and forecast annual DTS consumption, as described in the text abov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2995295"/>
                    </a:xfrm>
                    <a:prstGeom prst="rect">
                      <a:avLst/>
                    </a:prstGeom>
                    <a:noFill/>
                    <a:ln>
                      <a:noFill/>
                    </a:ln>
                  </pic:spPr>
                </pic:pic>
              </a:graphicData>
            </a:graphic>
          </wp:inline>
        </w:drawing>
      </w:r>
    </w:p>
    <w:p w14:paraId="7F0F9AF8" w14:textId="77777777" w:rsidR="006510D1" w:rsidRPr="00655745" w:rsidRDefault="006510D1" w:rsidP="006510D1">
      <w:pPr>
        <w:pStyle w:val="Source"/>
      </w:pPr>
    </w:p>
    <w:p w14:paraId="715ECCFA" w14:textId="56CF47A8" w:rsidR="003C7278" w:rsidRPr="00387F36" w:rsidRDefault="003C7278" w:rsidP="008A59B9">
      <w:pPr>
        <w:pStyle w:val="Heading2"/>
      </w:pPr>
      <w:bookmarkStart w:id="17" w:name="_Toc70878579"/>
      <w:bookmarkStart w:id="18" w:name="_Toc72198295"/>
      <w:r w:rsidRPr="00387F36">
        <w:t>The importance of gas supply for Victoria’s energy security, efficiency and affordability</w:t>
      </w:r>
      <w:bookmarkEnd w:id="17"/>
      <w:bookmarkEnd w:id="18"/>
      <w:r w:rsidRPr="00387F36">
        <w:t xml:space="preserve"> </w:t>
      </w:r>
    </w:p>
    <w:p w14:paraId="5CEA8C6D" w14:textId="77777777" w:rsidR="003C7278" w:rsidRPr="00387F36" w:rsidRDefault="003C7278" w:rsidP="008A59B9">
      <w:pPr>
        <w:pStyle w:val="Heading3"/>
      </w:pPr>
      <w:bookmarkStart w:id="19" w:name="_Toc70878580"/>
      <w:bookmarkStart w:id="20" w:name="_Toc72198296"/>
      <w:r w:rsidRPr="00387F36">
        <w:t>Energy policy context in Victoria</w:t>
      </w:r>
      <w:bookmarkEnd w:id="19"/>
      <w:bookmarkEnd w:id="20"/>
    </w:p>
    <w:p w14:paraId="2D1A2A4F" w14:textId="77777777" w:rsidR="003C7278" w:rsidRDefault="003C7278" w:rsidP="003C7278">
      <w:pPr>
        <w:pStyle w:val="BodyText"/>
      </w:pPr>
      <w:r>
        <w:t>The Victorian Government has identified four key energy policy objectives to guide the operation and evolution of its energy sector. These objectives are to ensure:</w:t>
      </w:r>
    </w:p>
    <w:p w14:paraId="5FD5E413" w14:textId="1ACBCEF5" w:rsidR="003C7278" w:rsidRPr="003C7278" w:rsidRDefault="003C7278" w:rsidP="003C7278">
      <w:pPr>
        <w:pStyle w:val="BodyBullet1"/>
      </w:pPr>
      <w:r>
        <w:t>An efficient and secure energy system</w:t>
      </w:r>
    </w:p>
    <w:p w14:paraId="2B9BA2C4" w14:textId="238ECA9C" w:rsidR="003C7278" w:rsidRPr="003C7278" w:rsidRDefault="003C7278" w:rsidP="003C7278">
      <w:pPr>
        <w:pStyle w:val="BodyBullet1"/>
      </w:pPr>
      <w:r>
        <w:t>That energy supplies are delivered reliably and safely</w:t>
      </w:r>
    </w:p>
    <w:p w14:paraId="0CC00855" w14:textId="76FF503C" w:rsidR="003C7278" w:rsidRPr="003C7278" w:rsidRDefault="003C7278" w:rsidP="003C7278">
      <w:pPr>
        <w:pStyle w:val="BodyBullet1"/>
      </w:pPr>
      <w:r>
        <w:t>That consumers can access energy at affordable prices</w:t>
      </w:r>
    </w:p>
    <w:p w14:paraId="3E0C5129" w14:textId="37F462D9" w:rsidR="003C7278" w:rsidRPr="003C7278" w:rsidRDefault="003C7278" w:rsidP="003C7278">
      <w:pPr>
        <w:pStyle w:val="BodyBullet1"/>
      </w:pPr>
      <w:r>
        <w:lastRenderedPageBreak/>
        <w:t>That energy supplies and the way we use them are environmentally sustainable and less greenhouse intensive</w:t>
      </w:r>
      <w:r w:rsidRPr="003C7278">
        <w:rPr>
          <w:rStyle w:val="FootnoteReference"/>
        </w:rPr>
        <w:footnoteReference w:id="7"/>
      </w:r>
      <w:r w:rsidR="00A061FB">
        <w:t>.</w:t>
      </w:r>
    </w:p>
    <w:p w14:paraId="79927924" w14:textId="7139C9ED" w:rsidR="003C7278" w:rsidRPr="003C7278" w:rsidRDefault="003C7278" w:rsidP="009C0B31">
      <w:pPr>
        <w:pStyle w:val="BodyText"/>
      </w:pPr>
      <w:r>
        <w:t>In accordance with the last objective, Victoria has committed to transitioning towards a more modern and renewable energy sector</w:t>
      </w:r>
      <w:r w:rsidRPr="003C7278">
        <w:t xml:space="preserve"> and has set targets to achieve this </w:t>
      </w:r>
      <w:r w:rsidR="00193939">
        <w:t>in</w:t>
      </w:r>
      <w:r w:rsidR="00193939" w:rsidRPr="003C7278">
        <w:t xml:space="preserve"> </w:t>
      </w:r>
      <w:r w:rsidRPr="003C7278">
        <w:t xml:space="preserve">the coming decades. The role of gas in this energy transition is discussed </w:t>
      </w:r>
      <w:r w:rsidR="00193939">
        <w:t>in</w:t>
      </w:r>
      <w:r w:rsidR="00193939" w:rsidRPr="003C7278">
        <w:t xml:space="preserve"> </w:t>
      </w:r>
      <w:r w:rsidRPr="003C7278">
        <w:t xml:space="preserve">Section </w:t>
      </w:r>
      <w:r w:rsidR="002C2B94">
        <w:fldChar w:fldCharType="begin"/>
      </w:r>
      <w:r w:rsidR="002C2B94">
        <w:instrText xml:space="preserve"> REF _Ref45810413 \r \h </w:instrText>
      </w:r>
      <w:r w:rsidR="002C2B94">
        <w:fldChar w:fldCharType="separate"/>
      </w:r>
      <w:r w:rsidR="00387F36">
        <w:t>2.3.3</w:t>
      </w:r>
      <w:r w:rsidR="002C2B94">
        <w:fldChar w:fldCharType="end"/>
      </w:r>
      <w:r w:rsidRPr="003C7278">
        <w:t xml:space="preserve"> of this chapter.</w:t>
      </w:r>
      <w:r w:rsidR="00DD44A7">
        <w:t xml:space="preserve"> The </w:t>
      </w:r>
      <w:r w:rsidR="00193939">
        <w:t xml:space="preserve">role </w:t>
      </w:r>
      <w:r w:rsidR="00DD44A7">
        <w:t xml:space="preserve">of </w:t>
      </w:r>
      <w:r w:rsidR="00193939">
        <w:t xml:space="preserve">the Project </w:t>
      </w:r>
      <w:r w:rsidR="00DD44A7">
        <w:t xml:space="preserve">in achieving these objectives is summarised in Section </w:t>
      </w:r>
      <w:r w:rsidR="00DD44A7">
        <w:fldChar w:fldCharType="begin"/>
      </w:r>
      <w:r w:rsidR="00DD44A7">
        <w:instrText xml:space="preserve"> REF _Ref47628144 \r \h </w:instrText>
      </w:r>
      <w:r w:rsidR="00DD44A7">
        <w:fldChar w:fldCharType="separate"/>
      </w:r>
      <w:r w:rsidR="00387F36">
        <w:t>2.6</w:t>
      </w:r>
      <w:r w:rsidR="00DD44A7">
        <w:fldChar w:fldCharType="end"/>
      </w:r>
      <w:r w:rsidR="00DD44A7">
        <w:t xml:space="preserve"> of this chapter. </w:t>
      </w:r>
    </w:p>
    <w:p w14:paraId="033E65D3" w14:textId="1705B466" w:rsidR="003C7278" w:rsidRPr="00387F36" w:rsidRDefault="003C7278" w:rsidP="008A59B9">
      <w:pPr>
        <w:pStyle w:val="Heading3"/>
      </w:pPr>
      <w:bookmarkStart w:id="21" w:name="_Ref47527957"/>
      <w:bookmarkStart w:id="22" w:name="_Toc70878581"/>
      <w:bookmarkStart w:id="23" w:name="_Toc72198297"/>
      <w:r w:rsidRPr="00387F36">
        <w:t>Forecast gas supply shortfall during peak demand</w:t>
      </w:r>
      <w:r w:rsidR="006510D1" w:rsidRPr="00387F36">
        <w:t> </w:t>
      </w:r>
      <w:r w:rsidRPr="00387F36">
        <w:t>periods</w:t>
      </w:r>
      <w:bookmarkEnd w:id="21"/>
      <w:bookmarkEnd w:id="22"/>
      <w:bookmarkEnd w:id="23"/>
    </w:p>
    <w:p w14:paraId="31FE64D3" w14:textId="5244A7C5" w:rsidR="001B71C6" w:rsidRDefault="003C7278" w:rsidP="009C0B31">
      <w:pPr>
        <w:pStyle w:val="BodyText"/>
      </w:pPr>
      <w:r>
        <w:t xml:space="preserve">The Australian Energy Market Operator (AEMO) monitors, manages and undertakes forecast planning for gas systems across Australia. </w:t>
      </w:r>
      <w:r w:rsidR="00592E52">
        <w:t xml:space="preserve">AEMO manage the distribution of gas flow throughout Victoria based on supply and demand requirements. </w:t>
      </w:r>
      <w:r>
        <w:t xml:space="preserve">AEMO </w:t>
      </w:r>
      <w:r w:rsidR="001B71C6">
        <w:t>in 2020</w:t>
      </w:r>
      <w:r w:rsidR="00D6136D">
        <w:rPr>
          <w:rStyle w:val="FootnoteReference"/>
        </w:rPr>
        <w:footnoteReference w:id="8"/>
      </w:r>
      <w:r w:rsidR="001B71C6">
        <w:t xml:space="preserve"> </w:t>
      </w:r>
      <w:r>
        <w:t xml:space="preserve">identified risks of a natural gas supply shortfall in Victoria in </w:t>
      </w:r>
      <w:r w:rsidR="00193939">
        <w:t xml:space="preserve">the </w:t>
      </w:r>
      <w:r>
        <w:t>winter months from 202</w:t>
      </w:r>
      <w:r w:rsidR="00B825D9">
        <w:t>4</w:t>
      </w:r>
      <w:r w:rsidR="00D6136D">
        <w:t xml:space="preserve"> </w:t>
      </w:r>
      <w:r>
        <w:t xml:space="preserve">onwards. </w:t>
      </w:r>
    </w:p>
    <w:p w14:paraId="0BD4F9FE" w14:textId="36A6BA33" w:rsidR="003C7278" w:rsidRDefault="003C7278" w:rsidP="009C0B31">
      <w:pPr>
        <w:pStyle w:val="BodyText"/>
      </w:pPr>
      <w:r>
        <w:t>Th</w:t>
      </w:r>
      <w:r w:rsidR="00E569E2">
        <w:t>at predicted</w:t>
      </w:r>
      <w:r w:rsidR="001B71C6">
        <w:t xml:space="preserve"> shortfall</w:t>
      </w:r>
      <w:r w:rsidR="00A061FB">
        <w:t xml:space="preserve"> </w:t>
      </w:r>
      <w:r>
        <w:t xml:space="preserve">is due to </w:t>
      </w:r>
      <w:r w:rsidR="00592E52">
        <w:t>supply constraint</w:t>
      </w:r>
      <w:r>
        <w:t xml:space="preserve"> factors</w:t>
      </w:r>
      <w:r w:rsidR="00592E52">
        <w:t xml:space="preserve"> rather than changes in demand</w:t>
      </w:r>
      <w:r w:rsidR="00193939">
        <w:t>,</w:t>
      </w:r>
      <w:r w:rsidR="003B2B7C">
        <w:t xml:space="preserve"> which are discussed in further detail in Section </w:t>
      </w:r>
      <w:r w:rsidR="003B2B7C">
        <w:fldChar w:fldCharType="begin"/>
      </w:r>
      <w:r w:rsidR="003B2B7C">
        <w:instrText xml:space="preserve"> REF _Ref49871437 \r \h </w:instrText>
      </w:r>
      <w:r w:rsidR="003B2B7C">
        <w:fldChar w:fldCharType="separate"/>
      </w:r>
      <w:r w:rsidR="00387F36">
        <w:t>2.4</w:t>
      </w:r>
      <w:r w:rsidR="003B2B7C">
        <w:fldChar w:fldCharType="end"/>
      </w:r>
      <w:r w:rsidR="003B2B7C">
        <w:t>,</w:t>
      </w:r>
      <w:r>
        <w:t xml:space="preserve"> </w:t>
      </w:r>
      <w:r w:rsidR="00193939">
        <w:t xml:space="preserve">and </w:t>
      </w:r>
      <w:r>
        <w:t>includ</w:t>
      </w:r>
      <w:r w:rsidR="00193939">
        <w:t>e</w:t>
      </w:r>
      <w:r>
        <w:t>:</w:t>
      </w:r>
    </w:p>
    <w:p w14:paraId="04872A72" w14:textId="283E7E9A" w:rsidR="003C7278" w:rsidRPr="003C7278" w:rsidRDefault="00193939" w:rsidP="003C7278">
      <w:pPr>
        <w:pStyle w:val="BodyBullet1"/>
      </w:pPr>
      <w:r>
        <w:t>S</w:t>
      </w:r>
      <w:r w:rsidR="003C7278" w:rsidRPr="003C7278">
        <w:t>ome of Victoria’s key gas sources approach</w:t>
      </w:r>
      <w:r>
        <w:t>ing</w:t>
      </w:r>
      <w:r w:rsidR="003C7278" w:rsidRPr="003C7278">
        <w:t xml:space="preserve"> end of life or </w:t>
      </w:r>
      <w:r w:rsidR="00D77C20">
        <w:t>forecast to cease operation</w:t>
      </w:r>
      <w:r w:rsidR="003C7278" w:rsidRPr="003C7278">
        <w:t xml:space="preserve"> </w:t>
      </w:r>
    </w:p>
    <w:p w14:paraId="5073FF1E" w14:textId="008BA1CE" w:rsidR="003C7278" w:rsidRPr="003C7278" w:rsidRDefault="003C7278" w:rsidP="003C7278">
      <w:pPr>
        <w:pStyle w:val="BodyBullet1"/>
      </w:pPr>
      <w:r>
        <w:t xml:space="preserve">Uncertainty </w:t>
      </w:r>
      <w:r w:rsidR="00193939">
        <w:t xml:space="preserve">about </w:t>
      </w:r>
      <w:r>
        <w:t>the status of future gas s</w:t>
      </w:r>
      <w:r w:rsidR="00D77C20">
        <w:t>upply projects for Victoria</w:t>
      </w:r>
    </w:p>
    <w:p w14:paraId="0D0EF6D3" w14:textId="1533D4EF" w:rsidR="003C7278" w:rsidRPr="003C7278" w:rsidRDefault="003C7278" w:rsidP="003C7278">
      <w:pPr>
        <w:pStyle w:val="BodyBullet1"/>
      </w:pPr>
      <w:r>
        <w:t>Network capacity constraints</w:t>
      </w:r>
      <w:r w:rsidR="00193939">
        <w:t>,</w:t>
      </w:r>
      <w:r>
        <w:t xml:space="preserve"> which will result in </w:t>
      </w:r>
      <w:r w:rsidRPr="003C7278">
        <w:t>inadequate transfer and storage rates over summer to meet winter peak demand.</w:t>
      </w:r>
    </w:p>
    <w:p w14:paraId="4F3C755B" w14:textId="0F02F0C1" w:rsidR="006C1884" w:rsidRPr="003C7278" w:rsidRDefault="00D6136D" w:rsidP="00E72A36">
      <w:pPr>
        <w:pStyle w:val="BodyText"/>
      </w:pPr>
      <w:r>
        <w:t>The threat of shortfall is expected to be addressed through the commitment from Australian Industrial Energy (AIE) to construct the Port Kembla (New South Wales) liqu</w:t>
      </w:r>
      <w:r w:rsidR="00A152DD">
        <w:t>e</w:t>
      </w:r>
      <w:r>
        <w:t>fied natural gas import terminal and Jemena's commitment to modify the Eastern Gas Pipeline to permit reverse flow from Port Kembla into the DTS</w:t>
      </w:r>
      <w:r>
        <w:rPr>
          <w:rStyle w:val="FootnoteReference"/>
        </w:rPr>
        <w:footnoteReference w:id="9"/>
      </w:r>
      <w:r>
        <w:t xml:space="preserve">. </w:t>
      </w:r>
      <w:r w:rsidR="001D14F4">
        <w:t>This assumption regarding available peak day supply capacity is forecasted to increase, following the expected completion of the WORM project in late 2022</w:t>
      </w:r>
      <w:r w:rsidR="001D14F4">
        <w:rPr>
          <w:rStyle w:val="FootnoteReference"/>
        </w:rPr>
        <w:footnoteReference w:id="10"/>
      </w:r>
      <w:r w:rsidR="001D14F4">
        <w:t xml:space="preserve">. </w:t>
      </w:r>
      <w:r w:rsidR="00B105D9">
        <w:t>A</w:t>
      </w:r>
      <w:r w:rsidR="006B6190">
        <w:t xml:space="preserve">ny </w:t>
      </w:r>
      <w:r w:rsidR="00B105D9">
        <w:t xml:space="preserve">new </w:t>
      </w:r>
      <w:r w:rsidR="006B6190">
        <w:t xml:space="preserve">supply </w:t>
      </w:r>
      <w:r w:rsidR="003C7278" w:rsidRPr="003C7278">
        <w:t>project</w:t>
      </w:r>
      <w:r w:rsidR="00B105D9">
        <w:t>s</w:t>
      </w:r>
      <w:r w:rsidR="003C7278" w:rsidRPr="003C7278">
        <w:t xml:space="preserve"> would need to be complemented </w:t>
      </w:r>
      <w:r w:rsidR="00013050">
        <w:t>by</w:t>
      </w:r>
      <w:r w:rsidR="00013050" w:rsidRPr="003C7278">
        <w:t xml:space="preserve"> </w:t>
      </w:r>
      <w:r w:rsidR="00C6681A">
        <w:t xml:space="preserve">critical </w:t>
      </w:r>
      <w:r w:rsidR="003C7278" w:rsidRPr="003C7278">
        <w:t>capacity upgrades to Victoria’s gas infrastructure network</w:t>
      </w:r>
      <w:r w:rsidR="00B825D9">
        <w:t xml:space="preserve"> </w:t>
      </w:r>
      <w:r w:rsidR="003C7278" w:rsidRPr="003C7278">
        <w:t xml:space="preserve">to ensure </w:t>
      </w:r>
      <w:r w:rsidR="006B6190">
        <w:t xml:space="preserve">that future </w:t>
      </w:r>
      <w:r w:rsidR="003C7278" w:rsidRPr="003C7278">
        <w:t>gas supply c</w:t>
      </w:r>
      <w:r w:rsidR="00013050">
        <w:t>ould</w:t>
      </w:r>
      <w:r w:rsidR="003C7278" w:rsidRPr="003C7278">
        <w:t xml:space="preserve"> be adequately circulated across the state</w:t>
      </w:r>
      <w:r w:rsidR="00013050">
        <w:t>,</w:t>
      </w:r>
      <w:r w:rsidR="003C7278" w:rsidRPr="003C7278">
        <w:t xml:space="preserve"> and interstate</w:t>
      </w:r>
      <w:r w:rsidR="00013050">
        <w:t>,</w:t>
      </w:r>
      <w:r w:rsidR="003C7278" w:rsidRPr="003C7278">
        <w:t xml:space="preserve"> where and when it is needed. </w:t>
      </w:r>
      <w:r w:rsidR="00164BA6">
        <w:t xml:space="preserve">The </w:t>
      </w:r>
      <w:r w:rsidR="00DD0E4C">
        <w:t xml:space="preserve">AEMO </w:t>
      </w:r>
      <w:r w:rsidR="00164BA6">
        <w:t>2021 updated forecasts have assumed that the WORM Project proceeds and would be in operatio</w:t>
      </w:r>
      <w:r w:rsidR="00733007">
        <w:t xml:space="preserve">n by 2023. </w:t>
      </w:r>
    </w:p>
    <w:p w14:paraId="10D80ADB" w14:textId="77777777" w:rsidR="003C7278" w:rsidRPr="00387F36" w:rsidRDefault="003C7278" w:rsidP="008A59B9">
      <w:pPr>
        <w:pStyle w:val="Heading3"/>
      </w:pPr>
      <w:bookmarkStart w:id="24" w:name="_Toc47537025"/>
      <w:bookmarkStart w:id="25" w:name="_Toc47945409"/>
      <w:bookmarkStart w:id="26" w:name="_Toc47946287"/>
      <w:bookmarkStart w:id="27" w:name="_Toc47537026"/>
      <w:bookmarkStart w:id="28" w:name="_Toc47945410"/>
      <w:bookmarkStart w:id="29" w:name="_Toc47946288"/>
      <w:bookmarkStart w:id="30" w:name="_Toc47537027"/>
      <w:bookmarkStart w:id="31" w:name="_Toc47945411"/>
      <w:bookmarkStart w:id="32" w:name="_Toc47946289"/>
      <w:bookmarkStart w:id="33" w:name="_Toc47537028"/>
      <w:bookmarkStart w:id="34" w:name="_Toc47945412"/>
      <w:bookmarkStart w:id="35" w:name="_Toc47946290"/>
      <w:bookmarkStart w:id="36" w:name="_Ref45810413"/>
      <w:bookmarkStart w:id="37" w:name="_Toc70878582"/>
      <w:bookmarkStart w:id="38" w:name="_Toc72198298"/>
      <w:bookmarkEnd w:id="24"/>
      <w:bookmarkEnd w:id="25"/>
      <w:bookmarkEnd w:id="26"/>
      <w:bookmarkEnd w:id="27"/>
      <w:bookmarkEnd w:id="28"/>
      <w:bookmarkEnd w:id="29"/>
      <w:bookmarkEnd w:id="30"/>
      <w:bookmarkEnd w:id="31"/>
      <w:bookmarkEnd w:id="32"/>
      <w:bookmarkEnd w:id="33"/>
      <w:bookmarkEnd w:id="34"/>
      <w:bookmarkEnd w:id="35"/>
      <w:r w:rsidRPr="00387F36">
        <w:lastRenderedPageBreak/>
        <w:t>The role of gas supply in Victoria’s energy mix</w:t>
      </w:r>
      <w:bookmarkEnd w:id="36"/>
      <w:bookmarkEnd w:id="37"/>
      <w:bookmarkEnd w:id="38"/>
    </w:p>
    <w:p w14:paraId="50F5A704" w14:textId="1C7F2C15" w:rsidR="00614176" w:rsidRPr="003C7278" w:rsidRDefault="003C7278" w:rsidP="00130832">
      <w:pPr>
        <w:pStyle w:val="BodyText"/>
        <w:keepNext/>
      </w:pPr>
      <w:r>
        <w:t>Victoria’s energy mix in 2018</w:t>
      </w:r>
      <w:r w:rsidR="00A061FB">
        <w:t>–</w:t>
      </w:r>
      <w:r>
        <w:t xml:space="preserve">19 by source </w:t>
      </w:r>
      <w:r w:rsidRPr="003C7278">
        <w:t xml:space="preserve">comprised </w:t>
      </w:r>
      <w:r w:rsidR="00E12200">
        <w:t>o</w:t>
      </w:r>
      <w:r w:rsidRPr="003C7278">
        <w:t xml:space="preserve">f 72.9 per cent coal, 5.3 per cent </w:t>
      </w:r>
      <w:r w:rsidR="009F663D">
        <w:t xml:space="preserve">natural </w:t>
      </w:r>
      <w:r w:rsidRPr="003C7278">
        <w:t>gas and 21.8 per cent renewable energy</w:t>
      </w:r>
      <w:r w:rsidRPr="003C7278">
        <w:rPr>
          <w:rStyle w:val="FootnoteReference"/>
        </w:rPr>
        <w:footnoteReference w:id="11"/>
      </w:r>
      <w:r w:rsidRPr="003C7278">
        <w:t xml:space="preserve">. </w:t>
      </w:r>
      <w:r w:rsidR="00193939">
        <w:t>While</w:t>
      </w:r>
      <w:r w:rsidRPr="003C7278">
        <w:t xml:space="preserve"> coal </w:t>
      </w:r>
      <w:r w:rsidR="00013050">
        <w:t xml:space="preserve">currently </w:t>
      </w:r>
      <w:r w:rsidRPr="003C7278">
        <w:t>remains the largest contributor to the state’s energy supplies, Victoria’s energy sector is rapidly modernising and transitioning in favour of cleaner and more sustainable sources of energy supply.</w:t>
      </w:r>
      <w:r w:rsidR="00AB4E04">
        <w:t xml:space="preserve"> </w:t>
      </w:r>
    </w:p>
    <w:p w14:paraId="4072E012" w14:textId="77777777" w:rsidR="00AB4E04" w:rsidRDefault="003C7278" w:rsidP="005B0BEC">
      <w:pPr>
        <w:pStyle w:val="BodyText"/>
      </w:pPr>
      <w:r>
        <w:t>The Victorian Government</w:t>
      </w:r>
      <w:r w:rsidRPr="003C7278">
        <w:t xml:space="preserve"> has committed to reducing greenhouse gas emissions and supporting the growth of renewable energy through its policy and legislative frameworks. The </w:t>
      </w:r>
      <w:r w:rsidRPr="00E93E36">
        <w:rPr>
          <w:rStyle w:val="Italics"/>
        </w:rPr>
        <w:t>Climate Change Act 2017</w:t>
      </w:r>
      <w:r w:rsidRPr="003C7278">
        <w:t xml:space="preserve"> sets a long-term emissions reduction target of zero greenhouse gas emissions by 2050. </w:t>
      </w:r>
    </w:p>
    <w:p w14:paraId="6999C9FC" w14:textId="4BDB8B11" w:rsidR="003C7278" w:rsidRPr="003C7278" w:rsidRDefault="003C7278" w:rsidP="005B0BEC">
      <w:pPr>
        <w:pStyle w:val="BodyText"/>
      </w:pPr>
      <w:r w:rsidRPr="003C7278">
        <w:t xml:space="preserve">The </w:t>
      </w:r>
      <w:r w:rsidRPr="002C2B94">
        <w:rPr>
          <w:rStyle w:val="Italics"/>
        </w:rPr>
        <w:t>Victorian Renewable Energy Target</w:t>
      </w:r>
      <w:r w:rsidRPr="003C7278">
        <w:t xml:space="preserve"> (VRET) has set a policy goal of achieving 50 per cent renewable energy generation in Victoria by 2030. This increase in energy generation share is largely expected to be balanced by a corresponding reduction in </w:t>
      </w:r>
      <w:proofErr w:type="gramStart"/>
      <w:r w:rsidRPr="003C7278">
        <w:t>coal based</w:t>
      </w:r>
      <w:proofErr w:type="gramEnd"/>
      <w:r w:rsidRPr="003C7278">
        <w:t xml:space="preserve"> energy generation</w:t>
      </w:r>
      <w:r w:rsidR="00013050">
        <w:t>,</w:t>
      </w:r>
      <w:r w:rsidRPr="003C7278">
        <w:t xml:space="preserve"> with the planned retirement of many coal-fired power generators in the coming years</w:t>
      </w:r>
      <w:r w:rsidRPr="003C7278">
        <w:rPr>
          <w:rStyle w:val="FootnoteReference"/>
        </w:rPr>
        <w:footnoteReference w:id="12"/>
      </w:r>
      <w:r w:rsidRPr="003C7278">
        <w:t>.</w:t>
      </w:r>
    </w:p>
    <w:p w14:paraId="0820029F" w14:textId="68D334A2" w:rsidR="00A86903" w:rsidRDefault="00937D0E" w:rsidP="009F663D">
      <w:pPr>
        <w:pStyle w:val="BodyText"/>
      </w:pPr>
      <w:r>
        <w:t>As shown in</w:t>
      </w:r>
      <w:r w:rsidR="00522DC7">
        <w:t xml:space="preserve"> </w:t>
      </w:r>
      <w:r w:rsidR="005709F4">
        <w:fldChar w:fldCharType="begin"/>
      </w:r>
      <w:r w:rsidR="005709F4">
        <w:instrText xml:space="preserve"> REF _Ref47520251 \h </w:instrText>
      </w:r>
      <w:r w:rsidR="005709F4">
        <w:fldChar w:fldCharType="separate"/>
      </w:r>
      <w:r w:rsidR="00387F36" w:rsidDel="000A300D">
        <w:t>Figure</w:t>
      </w:r>
      <w:r w:rsidR="00387F36">
        <w:t> </w:t>
      </w:r>
      <w:r w:rsidR="00387F36">
        <w:rPr>
          <w:noProof/>
        </w:rPr>
        <w:t>2</w:t>
      </w:r>
      <w:r w:rsidR="00387F36" w:rsidDel="000A300D">
        <w:noBreakHyphen/>
      </w:r>
      <w:r w:rsidR="00387F36">
        <w:rPr>
          <w:noProof/>
        </w:rPr>
        <w:t>4</w:t>
      </w:r>
      <w:r w:rsidR="005709F4">
        <w:fldChar w:fldCharType="end"/>
      </w:r>
      <w:r>
        <w:t>, d</w:t>
      </w:r>
      <w:r w:rsidR="003C7278">
        <w:t xml:space="preserve">espite having a comparatively smaller share of Victoria’s energy mix, </w:t>
      </w:r>
      <w:r w:rsidR="009F663D">
        <w:t xml:space="preserve">natural </w:t>
      </w:r>
      <w:r w:rsidR="003C7278">
        <w:t xml:space="preserve">gas will </w:t>
      </w:r>
      <w:r>
        <w:t>continue</w:t>
      </w:r>
      <w:r w:rsidR="00532F18">
        <w:t xml:space="preserve"> to</w:t>
      </w:r>
      <w:r>
        <w:t xml:space="preserve"> </w:t>
      </w:r>
      <w:r w:rsidR="003C7278">
        <w:t xml:space="preserve">play an important role </w:t>
      </w:r>
      <w:r w:rsidR="003C7278" w:rsidRPr="003C7278">
        <w:t>in meeting Victoria’s energy needs given its ability to support the renewable energy transition and reduction of greenhouse gas emissions in the state.</w:t>
      </w:r>
      <w:r w:rsidR="006F75A1">
        <w:t xml:space="preserve"> </w:t>
      </w:r>
      <w:r w:rsidR="00D83FF2" w:rsidRPr="00D83FF2">
        <w:t>Natural gas remains a favoured fuel source for renewable energy generation facilities</w:t>
      </w:r>
      <w:r w:rsidR="00013050">
        <w:t>, because</w:t>
      </w:r>
      <w:r w:rsidR="00D83FF2" w:rsidRPr="00D83FF2">
        <w:t xml:space="preserve"> it produces substantially </w:t>
      </w:r>
      <w:r w:rsidR="00013050">
        <w:t>fewer</w:t>
      </w:r>
      <w:r w:rsidR="00013050" w:rsidRPr="00D83FF2">
        <w:t xml:space="preserve"> </w:t>
      </w:r>
      <w:r w:rsidR="00D83FF2" w:rsidRPr="00D83FF2">
        <w:t xml:space="preserve">greenhouse gas emissions than coal. Gas is used to support the function of renewable energy facilities by providing </w:t>
      </w:r>
      <w:r w:rsidR="00D83FF2" w:rsidRPr="00F019B9">
        <w:rPr>
          <w:rStyle w:val="Highlight"/>
          <w:shd w:val="clear" w:color="auto" w:fill="auto"/>
        </w:rPr>
        <w:t>back-up power</w:t>
      </w:r>
      <w:r w:rsidR="00D83FF2" w:rsidRPr="00D83FF2">
        <w:t xml:space="preserve"> for a range of renewable energy generators. </w:t>
      </w:r>
    </w:p>
    <w:p w14:paraId="022E4B88" w14:textId="339EDEB1" w:rsidR="00733345" w:rsidRDefault="007C672A" w:rsidP="009F663D">
      <w:pPr>
        <w:pStyle w:val="BodyText"/>
      </w:pPr>
      <w:r>
        <w:t>Beyond 2024, the role of gas will increase in proportion</w:t>
      </w:r>
      <w:r w:rsidR="00013050">
        <w:t xml:space="preserve"> to the decline in </w:t>
      </w:r>
      <w:r>
        <w:t>coal generation</w:t>
      </w:r>
      <w:r w:rsidR="00A63777">
        <w:t>, with gas playing a particularly important role between 2030 and 2050 as the clean energy sector expands in line with VRET and broader climate change policy</w:t>
      </w:r>
      <w:r w:rsidR="00A63777">
        <w:rPr>
          <w:rStyle w:val="FootnoteReference"/>
        </w:rPr>
        <w:footnoteReference w:id="13"/>
      </w:r>
      <w:r w:rsidR="00A63777">
        <w:t xml:space="preserve">. </w:t>
      </w:r>
      <w:r w:rsidR="00013050">
        <w:t>However, t</w:t>
      </w:r>
      <w:r w:rsidR="00730F51">
        <w:t>he Australian Energy Regulator (AER)'s State of the Energy Market 2020</w:t>
      </w:r>
      <w:r w:rsidR="000F1A47">
        <w:t xml:space="preserve"> report</w:t>
      </w:r>
      <w:r w:rsidR="00730F51">
        <w:t xml:space="preserve"> </w:t>
      </w:r>
      <w:r w:rsidR="00013050">
        <w:t xml:space="preserve">has </w:t>
      </w:r>
      <w:r w:rsidR="000F1A47">
        <w:t>identifie</w:t>
      </w:r>
      <w:r w:rsidR="00013050">
        <w:t>d</w:t>
      </w:r>
      <w:r w:rsidR="000F1A47">
        <w:t xml:space="preserve"> that the energy transition underway in Australia has</w:t>
      </w:r>
      <w:r w:rsidR="00077500">
        <w:t xml:space="preserve"> led to</w:t>
      </w:r>
      <w:r w:rsidR="000F1A47">
        <w:t xml:space="preserve"> increased concerns about reliability</w:t>
      </w:r>
      <w:r w:rsidR="00F019B9">
        <w:t xml:space="preserve"> as the clean energy sector develops</w:t>
      </w:r>
      <w:r w:rsidR="000F1A47">
        <w:rPr>
          <w:rStyle w:val="FootnoteReference"/>
        </w:rPr>
        <w:footnoteReference w:id="14"/>
      </w:r>
      <w:r w:rsidR="000F1A47">
        <w:t>. The</w:t>
      </w:r>
      <w:r w:rsidR="005A1C08">
        <w:t> </w:t>
      </w:r>
      <w:r w:rsidR="000F1A47">
        <w:t>report</w:t>
      </w:r>
      <w:r w:rsidR="00730F51">
        <w:t xml:space="preserve"> notes that increased wind and solar generation in the national electricity market is creating more volatile supply and demand conditions in the energy sector. As the market transitions to a cleaner energy base, the energy grid must respond to sudden changes in renewable output</w:t>
      </w:r>
      <w:r w:rsidR="00077500">
        <w:t>,</w:t>
      </w:r>
      <w:r w:rsidR="00730F51">
        <w:t xml:space="preserve"> which indicates an increasing need for energy generation, storage and demand responses that can respond quickly to these changes. It notes that gas, hydro and batteries are well able to respond to the variability of wind and solar</w:t>
      </w:r>
      <w:r w:rsidR="00730F51">
        <w:rPr>
          <w:rStyle w:val="FootnoteReference"/>
        </w:rPr>
        <w:footnoteReference w:id="15"/>
      </w:r>
      <w:r w:rsidR="00730F51">
        <w:t>.</w:t>
      </w:r>
      <w:r w:rsidR="00733345">
        <w:t xml:space="preserve"> </w:t>
      </w:r>
    </w:p>
    <w:p w14:paraId="3E3C5A91" w14:textId="56FB6311" w:rsidR="004B09E7" w:rsidRDefault="00733345" w:rsidP="005370F8">
      <w:pPr>
        <w:pStyle w:val="BodyText"/>
      </w:pPr>
      <w:r>
        <w:lastRenderedPageBreak/>
        <w:t xml:space="preserve">As shown in </w:t>
      </w:r>
      <w:r w:rsidR="004B09E7">
        <w:fldChar w:fldCharType="begin"/>
      </w:r>
      <w:r w:rsidR="004B09E7">
        <w:instrText xml:space="preserve"> REF _Ref50024017 \h </w:instrText>
      </w:r>
      <w:r w:rsidR="004B09E7">
        <w:fldChar w:fldCharType="separate"/>
      </w:r>
      <w:r w:rsidR="00387F36" w:rsidDel="00077500">
        <w:t>Figure</w:t>
      </w:r>
      <w:r w:rsidR="00387F36">
        <w:t> </w:t>
      </w:r>
      <w:r w:rsidR="00387F36">
        <w:rPr>
          <w:noProof/>
        </w:rPr>
        <w:t>2</w:t>
      </w:r>
      <w:r w:rsidR="00387F36" w:rsidDel="00077500">
        <w:noBreakHyphen/>
      </w:r>
      <w:r w:rsidR="00387F36">
        <w:rPr>
          <w:noProof/>
        </w:rPr>
        <w:t>3</w:t>
      </w:r>
      <w:r w:rsidR="004B09E7">
        <w:fldChar w:fldCharType="end"/>
      </w:r>
      <w:r>
        <w:t xml:space="preserve">, new energy generation investment in Victoria </w:t>
      </w:r>
      <w:proofErr w:type="gramStart"/>
      <w:r w:rsidR="00A86903">
        <w:t>at</w:t>
      </w:r>
      <w:proofErr w:type="gramEnd"/>
      <w:r w:rsidR="00077500">
        <w:t xml:space="preserve"> </w:t>
      </w:r>
      <w:r>
        <w:t>March 2020 has largely comprised wind and solar, with a small proportion of battery and gas generation also proposed, and no hydro.</w:t>
      </w:r>
      <w:r w:rsidR="000E6DB6">
        <w:t xml:space="preserve"> As wind and solar generation continues to grow, the intermittent </w:t>
      </w:r>
      <w:r w:rsidR="00F019B9">
        <w:t xml:space="preserve">nature of these </w:t>
      </w:r>
      <w:r w:rsidR="000E6DB6">
        <w:t xml:space="preserve">renewables will require what the AER describes as 'firming' </w:t>
      </w:r>
      <w:r w:rsidR="00F019B9">
        <w:t>capacity</w:t>
      </w:r>
      <w:r w:rsidR="00077500">
        <w:t>,</w:t>
      </w:r>
      <w:r w:rsidR="00F019B9">
        <w:t xml:space="preserve"> via</w:t>
      </w:r>
      <w:r w:rsidR="000E6DB6">
        <w:t xml:space="preserve"> gas powered plant</w:t>
      </w:r>
      <w:r w:rsidR="00077500">
        <w:t>s</w:t>
      </w:r>
      <w:r w:rsidR="000E6DB6">
        <w:t xml:space="preserve"> or storage to support</w:t>
      </w:r>
      <w:r w:rsidR="00F019B9">
        <w:t xml:space="preserve"> energy reliability and security for consumers.</w:t>
      </w:r>
    </w:p>
    <w:p w14:paraId="61D25146" w14:textId="77777777" w:rsidR="00AB4E04" w:rsidRDefault="00AB4E04" w:rsidP="00AB4E04">
      <w:pPr>
        <w:pStyle w:val="BodyText"/>
      </w:pPr>
      <w:r>
        <w:t>As an Australian natural gas infrastructure owner and operator, APA is committed to being part of the successful transition to a lower carbon future. This commitment includes continued investment in natural gas assets to ensure a secure and reliable source of natural gas is available to support Australia's evolving energy mix, and supporting emerging technologies through investment and coordination with the renewable energy sector in new energy research and development</w:t>
      </w:r>
      <w:r>
        <w:rPr>
          <w:rStyle w:val="FootnoteReference"/>
        </w:rPr>
        <w:footnoteReference w:id="16"/>
      </w:r>
      <w:r>
        <w:t xml:space="preserve">. </w:t>
      </w:r>
    </w:p>
    <w:p w14:paraId="5F7C88BC" w14:textId="06B72DA5" w:rsidR="004B09E7" w:rsidDel="00077500" w:rsidRDefault="004B09E7" w:rsidP="004B09E7">
      <w:pPr>
        <w:pStyle w:val="Caption"/>
      </w:pPr>
      <w:bookmarkStart w:id="39" w:name="_Ref50024017"/>
      <w:r w:rsidDel="00077500">
        <w:t>Figure</w:t>
      </w:r>
      <w:r w:rsidR="00A061FB">
        <w:t> </w:t>
      </w:r>
      <w:r w:rsidR="00BE54D2">
        <w:fldChar w:fldCharType="begin"/>
      </w:r>
      <w:r w:rsidR="00BE54D2">
        <w:instrText xml:space="preserve"> STYLEREF 1 \s </w:instrText>
      </w:r>
      <w:r w:rsidR="00BE54D2">
        <w:fldChar w:fldCharType="separate"/>
      </w:r>
      <w:r w:rsidR="00387F36">
        <w:rPr>
          <w:noProof/>
        </w:rPr>
        <w:t>2</w:t>
      </w:r>
      <w:r w:rsidR="00BE54D2">
        <w:rPr>
          <w:noProof/>
        </w:rPr>
        <w:fldChar w:fldCharType="end"/>
      </w:r>
      <w:r w:rsidDel="00077500">
        <w:noBreakHyphen/>
      </w:r>
      <w:r w:rsidR="00BE54D2">
        <w:fldChar w:fldCharType="begin"/>
      </w:r>
      <w:r w:rsidR="00BE54D2">
        <w:instrText xml:space="preserve"> SEQ Figure \* ARABIC \s 1 </w:instrText>
      </w:r>
      <w:r w:rsidR="00BE54D2">
        <w:fldChar w:fldCharType="separate"/>
      </w:r>
      <w:r w:rsidR="00387F36">
        <w:rPr>
          <w:noProof/>
        </w:rPr>
        <w:t>3</w:t>
      </w:r>
      <w:r w:rsidR="00BE54D2">
        <w:rPr>
          <w:noProof/>
        </w:rPr>
        <w:fldChar w:fldCharType="end"/>
      </w:r>
      <w:bookmarkEnd w:id="39"/>
      <w:r w:rsidR="00774D83">
        <w:tab/>
      </w:r>
      <w:r w:rsidRPr="002326AD" w:rsidDel="00077500">
        <w:t>Announced energy generation proposals (</w:t>
      </w:r>
      <w:proofErr w:type="gramStart"/>
      <w:r w:rsidR="006F03D4">
        <w:t>at</w:t>
      </w:r>
      <w:proofErr w:type="gramEnd"/>
      <w:r w:rsidR="006F03D4">
        <w:t xml:space="preserve"> </w:t>
      </w:r>
      <w:r w:rsidRPr="002326AD" w:rsidDel="00077500">
        <w:t>March 2020) by State</w:t>
      </w:r>
      <w:r w:rsidDel="00077500">
        <w:rPr>
          <w:rStyle w:val="FootnoteReference"/>
        </w:rPr>
        <w:footnoteReference w:id="17"/>
      </w:r>
    </w:p>
    <w:p w14:paraId="03ACD6CC" w14:textId="7CFA7F0E" w:rsidR="00733345" w:rsidRDefault="00733345" w:rsidP="00C14E71">
      <w:pPr>
        <w:pStyle w:val="Object"/>
      </w:pPr>
      <w:r w:rsidRPr="00733345">
        <w:rPr>
          <w:noProof/>
          <w:lang w:eastAsia="en-AU"/>
        </w:rPr>
        <w:drawing>
          <wp:inline distT="0" distB="0" distL="0" distR="0" wp14:anchorId="394EDBC8" wp14:editId="4707C29D">
            <wp:extent cx="4896000" cy="4075637"/>
            <wp:effectExtent l="0" t="0" r="0" b="1270"/>
            <wp:docPr id="10" name="Picture 10" descr="This figure shows a bar chart of the actual and forecast annual DTS consumption,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figure shows a bar chart of the actual and forecast annual DTS consumption, as described in the text above."/>
                    <pic:cNvPicPr/>
                  </pic:nvPicPr>
                  <pic:blipFill rotWithShape="1">
                    <a:blip r:embed="rId22"/>
                    <a:srcRect t="7157"/>
                    <a:stretch/>
                  </pic:blipFill>
                  <pic:spPr bwMode="auto">
                    <a:xfrm>
                      <a:off x="0" y="0"/>
                      <a:ext cx="4896000" cy="4075637"/>
                    </a:xfrm>
                    <a:prstGeom prst="rect">
                      <a:avLst/>
                    </a:prstGeom>
                    <a:ln>
                      <a:noFill/>
                    </a:ln>
                    <a:extLst>
                      <a:ext uri="{53640926-AAD7-44D8-BBD7-CCE9431645EC}">
                        <a14:shadowObscured xmlns:a14="http://schemas.microsoft.com/office/drawing/2010/main"/>
                      </a:ext>
                    </a:extLst>
                  </pic:spPr>
                </pic:pic>
              </a:graphicData>
            </a:graphic>
          </wp:inline>
        </w:drawing>
      </w:r>
    </w:p>
    <w:p w14:paraId="30E9303A" w14:textId="77777777" w:rsidR="00C14E71" w:rsidRPr="00C14E71" w:rsidRDefault="00C14E71" w:rsidP="00C14E71">
      <w:pPr>
        <w:pStyle w:val="Source"/>
      </w:pPr>
    </w:p>
    <w:p w14:paraId="54C66E1F" w14:textId="2E36D300" w:rsidR="00D83FF2" w:rsidRDefault="003C7278" w:rsidP="005B0BEC">
      <w:pPr>
        <w:pStyle w:val="BodyText"/>
      </w:pPr>
      <w:r w:rsidRPr="00E93E36">
        <w:rPr>
          <w:rStyle w:val="Italics"/>
        </w:rPr>
        <w:lastRenderedPageBreak/>
        <w:t>Victoria’s Renewable Energy Action Plan</w:t>
      </w:r>
      <w:r>
        <w:t xml:space="preserve"> (2018) contains a key action to </w:t>
      </w:r>
      <w:r w:rsidRPr="00E93E36">
        <w:rPr>
          <w:rStyle w:val="Italics"/>
        </w:rPr>
        <w:t>‘[a]</w:t>
      </w:r>
      <w:proofErr w:type="spellStart"/>
      <w:r w:rsidRPr="00E93E36">
        <w:rPr>
          <w:rStyle w:val="Italics"/>
        </w:rPr>
        <w:t>dvocate</w:t>
      </w:r>
      <w:proofErr w:type="spellEnd"/>
      <w:r w:rsidRPr="00E93E36">
        <w:rPr>
          <w:rStyle w:val="Italics"/>
        </w:rPr>
        <w:t xml:space="preserve"> to deliver secure, reliable and fairly priced gas for renewable energy generation’.</w:t>
      </w:r>
      <w:r w:rsidRPr="003C7278">
        <w:t xml:space="preserve"> Through this action, the Victorian Government highlights that it will continue to use </w:t>
      </w:r>
      <w:r w:rsidR="009F663D">
        <w:t xml:space="preserve">natural </w:t>
      </w:r>
      <w:r w:rsidRPr="003C7278">
        <w:t>gas as a key fuel source to support renewable energy generation in the state</w:t>
      </w:r>
      <w:r w:rsidRPr="003C7278">
        <w:rPr>
          <w:rStyle w:val="FootnoteReference"/>
        </w:rPr>
        <w:footnoteReference w:id="18"/>
      </w:r>
      <w:r w:rsidRPr="003C7278">
        <w:t xml:space="preserve">. </w:t>
      </w:r>
      <w:r w:rsidR="00D83FF2">
        <w:t xml:space="preserve">This action acknowledges that the clean energy transition will take time, with </w:t>
      </w:r>
      <w:r w:rsidR="009F663D">
        <w:t xml:space="preserve">natural </w:t>
      </w:r>
      <w:r w:rsidR="00D83FF2">
        <w:t>gas expected to remain an important stabiliser for energy system reliability over the coming decades until renewables generation and utility-scale renewable energy storage and distribution infrastructure can be established.</w:t>
      </w:r>
    </w:p>
    <w:p w14:paraId="06AB9189" w14:textId="4B7A06FB" w:rsidR="00BC5C5E" w:rsidDel="000A300D" w:rsidRDefault="00BC5C5E" w:rsidP="00BC5C5E">
      <w:pPr>
        <w:pStyle w:val="Caption"/>
      </w:pPr>
      <w:bookmarkStart w:id="40" w:name="_Ref47520251"/>
      <w:r w:rsidDel="000A300D">
        <w:t>Figure</w:t>
      </w:r>
      <w:r w:rsidR="00A061FB">
        <w:t> </w:t>
      </w:r>
      <w:r w:rsidR="00BE54D2">
        <w:fldChar w:fldCharType="begin"/>
      </w:r>
      <w:r w:rsidR="00BE54D2">
        <w:instrText xml:space="preserve"> STYLEREF 1 \s </w:instrText>
      </w:r>
      <w:r w:rsidR="00BE54D2">
        <w:fldChar w:fldCharType="separate"/>
      </w:r>
      <w:r w:rsidR="00387F36">
        <w:rPr>
          <w:noProof/>
        </w:rPr>
        <w:t>2</w:t>
      </w:r>
      <w:r w:rsidR="00BE54D2">
        <w:rPr>
          <w:noProof/>
        </w:rPr>
        <w:fldChar w:fldCharType="end"/>
      </w:r>
      <w:r w:rsidR="004B09E7" w:rsidDel="000A300D">
        <w:noBreakHyphen/>
      </w:r>
      <w:r w:rsidR="00BE54D2">
        <w:fldChar w:fldCharType="begin"/>
      </w:r>
      <w:r w:rsidR="00BE54D2">
        <w:instrText xml:space="preserve"> SEQ Figure \* ARABIC \s 1 </w:instrText>
      </w:r>
      <w:r w:rsidR="00BE54D2">
        <w:fldChar w:fldCharType="separate"/>
      </w:r>
      <w:r w:rsidR="00387F36">
        <w:rPr>
          <w:noProof/>
        </w:rPr>
        <w:t>4</w:t>
      </w:r>
      <w:r w:rsidR="00BE54D2">
        <w:rPr>
          <w:noProof/>
        </w:rPr>
        <w:fldChar w:fldCharType="end"/>
      </w:r>
      <w:bookmarkEnd w:id="40"/>
      <w:r w:rsidR="00774D83">
        <w:tab/>
      </w:r>
      <w:r w:rsidDel="000A300D">
        <w:t>Victorian electricity generation, actual 201</w:t>
      </w:r>
      <w:r w:rsidR="0000062A">
        <w:t>6</w:t>
      </w:r>
      <w:r w:rsidR="00A061FB">
        <w:t>–</w:t>
      </w:r>
      <w:r w:rsidR="0000062A">
        <w:t>20</w:t>
      </w:r>
      <w:r w:rsidDel="000A300D">
        <w:t xml:space="preserve"> and forecast 202</w:t>
      </w:r>
      <w:r w:rsidR="0000062A">
        <w:t>1</w:t>
      </w:r>
      <w:r w:rsidR="00A061FB">
        <w:t>–</w:t>
      </w:r>
      <w:r w:rsidDel="000A300D">
        <w:t>2</w:t>
      </w:r>
      <w:r w:rsidR="0000062A">
        <w:t>5</w:t>
      </w:r>
      <w:r w:rsidDel="000A300D">
        <w:t xml:space="preserve"> (GWh/year)</w:t>
      </w:r>
      <w:r w:rsidDel="000A300D">
        <w:rPr>
          <w:rStyle w:val="FootnoteReference"/>
        </w:rPr>
        <w:footnoteReference w:id="19"/>
      </w:r>
    </w:p>
    <w:p w14:paraId="428F8347" w14:textId="30878184" w:rsidR="00D82914" w:rsidRDefault="00BC5C5E" w:rsidP="00C14E71">
      <w:pPr>
        <w:pStyle w:val="Object"/>
        <w:rPr>
          <w:highlight w:val="yellow"/>
        </w:rPr>
      </w:pPr>
      <w:r w:rsidRPr="00BC5C5E">
        <w:rPr>
          <w:noProof/>
          <w:lang w:eastAsia="en-AU"/>
        </w:rPr>
        <w:drawing>
          <wp:inline distT="0" distB="0" distL="0" distR="0" wp14:anchorId="166025C1" wp14:editId="3C12E0BC">
            <wp:extent cx="5760000" cy="2735558"/>
            <wp:effectExtent l="0" t="0" r="0" b="8255"/>
            <wp:docPr id="8" name="Picture 8" descr="This figure contains a bar chart showing Victoria's energy generation from 2016-2025. This chart illustrates that coal energy generation is predicted to decrease by 2025 from over 40000 GWh to over 30000 GWh. Wind and Solar energy generation is predicted to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figure contains a bar chart showing Victoria's energy generation from 2016-2025. This chart illustrates that coal energy generation is predicted to decrease by 2025 from over 40000 GWh to over 30000 GWh. Wind and Solar energy generation is predicted to increase."/>
                    <pic:cNvPicPr/>
                  </pic:nvPicPr>
                  <pic:blipFill>
                    <a:blip r:embed="rId23">
                      <a:extLst>
                        <a:ext uri="{28A0092B-C50C-407E-A947-70E740481C1C}">
                          <a14:useLocalDpi xmlns:a14="http://schemas.microsoft.com/office/drawing/2010/main" val="0"/>
                        </a:ext>
                      </a:extLst>
                    </a:blip>
                    <a:stretch>
                      <a:fillRect/>
                    </a:stretch>
                  </pic:blipFill>
                  <pic:spPr>
                    <a:xfrm>
                      <a:off x="0" y="0"/>
                      <a:ext cx="5760000" cy="2735558"/>
                    </a:xfrm>
                    <a:prstGeom prst="rect">
                      <a:avLst/>
                    </a:prstGeom>
                  </pic:spPr>
                </pic:pic>
              </a:graphicData>
            </a:graphic>
          </wp:inline>
        </w:drawing>
      </w:r>
    </w:p>
    <w:p w14:paraId="598077F9" w14:textId="7D7F6CB7" w:rsidR="00C14E71" w:rsidRDefault="00C14E71" w:rsidP="00C14E71">
      <w:pPr>
        <w:pStyle w:val="Source"/>
        <w:rPr>
          <w:highlight w:val="yellow"/>
        </w:rPr>
      </w:pPr>
    </w:p>
    <w:tbl>
      <w:tblPr>
        <w:tblW w:w="0" w:type="auto"/>
        <w:tblBorders>
          <w:top w:val="single" w:sz="12" w:space="0" w:color="1C4483" w:themeColor="accent1"/>
          <w:left w:val="single" w:sz="12" w:space="0" w:color="1C4483" w:themeColor="accent1"/>
          <w:bottom w:val="single" w:sz="12" w:space="0" w:color="1C4483" w:themeColor="accent1"/>
          <w:right w:val="single" w:sz="12" w:space="0" w:color="1C4483" w:themeColor="accent1"/>
        </w:tblBorders>
        <w:shd w:val="clear" w:color="auto" w:fill="E7E9EA" w:themeFill="text2" w:themeFillTint="1A"/>
        <w:tblCellMar>
          <w:top w:w="113" w:type="dxa"/>
          <w:bottom w:w="113" w:type="dxa"/>
        </w:tblCellMar>
        <w:tblLook w:val="04A0" w:firstRow="1" w:lastRow="0" w:firstColumn="1" w:lastColumn="0" w:noHBand="0" w:noVBand="1"/>
      </w:tblPr>
      <w:tblGrid>
        <w:gridCol w:w="9040"/>
      </w:tblGrid>
      <w:tr w:rsidR="00C14E71" w14:paraId="6A44E02B" w14:textId="77777777" w:rsidTr="00C14E71">
        <w:tc>
          <w:tcPr>
            <w:tcW w:w="9060" w:type="dxa"/>
            <w:shd w:val="clear" w:color="auto" w:fill="E7E9EA" w:themeFill="text2" w:themeFillTint="1A"/>
          </w:tcPr>
          <w:p w14:paraId="793612CA" w14:textId="77777777" w:rsidR="00C14E71" w:rsidRPr="00A77342" w:rsidRDefault="00C14E71" w:rsidP="00C14E71">
            <w:pPr>
              <w:pStyle w:val="CalloutHeader"/>
            </w:pPr>
            <w:r>
              <w:t>Renewable gas as an alternative to natural gas</w:t>
            </w:r>
          </w:p>
          <w:p w14:paraId="2A7BBCEE" w14:textId="77777777" w:rsidR="00C14E71" w:rsidRDefault="00C14E71" w:rsidP="00C14E71">
            <w:pPr>
              <w:pStyle w:val="BodyText"/>
            </w:pPr>
            <w:r>
              <w:t xml:space="preserve">Renewable gas refers to a range of renewable fuels that may be used to complement or replace natural gas in the future. These include hydrogen, methane and biogas. Research and development of renewable gas technologies is in its early stages in Australia. </w:t>
            </w:r>
          </w:p>
          <w:p w14:paraId="680BBF84" w14:textId="77777777" w:rsidR="00C14E71" w:rsidRDefault="00C14E71" w:rsidP="00C14E71">
            <w:pPr>
              <w:pStyle w:val="BodyText"/>
            </w:pPr>
            <w:r>
              <w:t xml:space="preserve">APA is exploring the potential of renewable methane as a future replacement for natural gas in existing pipelines in Australia; having commenced a pilot project in early 2020 with support from the Australian Renewable Energy Agency (ARENA). </w:t>
            </w:r>
          </w:p>
          <w:p w14:paraId="15D6BE07" w14:textId="1181C72A" w:rsidR="00C14E71" w:rsidRDefault="00C14E71" w:rsidP="00C14E71">
            <w:pPr>
              <w:pStyle w:val="BodyText"/>
              <w:rPr>
                <w:highlight w:val="yellow"/>
              </w:rPr>
            </w:pPr>
            <w:r>
              <w:t>While renewable gas technologies continue to develop, natural gas is expected to remain an important transitional fuel over the coming decades, because it produces significantly fewer greenhouse gas emissions than coal and supports energy security, efficiency and affordability during the transition to a clean energy future.</w:t>
            </w:r>
          </w:p>
        </w:tc>
      </w:tr>
    </w:tbl>
    <w:p w14:paraId="2047D030" w14:textId="77777777" w:rsidR="003C7278" w:rsidRPr="00387F36" w:rsidRDefault="003C7278" w:rsidP="008A59B9">
      <w:pPr>
        <w:pStyle w:val="Heading2"/>
      </w:pPr>
      <w:bookmarkStart w:id="41" w:name="_Toc51081660"/>
      <w:bookmarkStart w:id="42" w:name="_Toc47537030"/>
      <w:bookmarkStart w:id="43" w:name="_Toc47945414"/>
      <w:bookmarkStart w:id="44" w:name="_Toc47946292"/>
      <w:bookmarkStart w:id="45" w:name="_Ref49871437"/>
      <w:bookmarkStart w:id="46" w:name="_Toc70878583"/>
      <w:bookmarkStart w:id="47" w:name="_Toc72198299"/>
      <w:bookmarkEnd w:id="41"/>
      <w:bookmarkEnd w:id="42"/>
      <w:bookmarkEnd w:id="43"/>
      <w:bookmarkEnd w:id="44"/>
      <w:r w:rsidRPr="00387F36">
        <w:lastRenderedPageBreak/>
        <w:t>Network infrastructure constraints impacting energy security, efficiency and affordability</w:t>
      </w:r>
      <w:bookmarkEnd w:id="45"/>
      <w:bookmarkEnd w:id="46"/>
      <w:bookmarkEnd w:id="47"/>
    </w:p>
    <w:p w14:paraId="7E0A750F" w14:textId="77777777" w:rsidR="003C7278" w:rsidRPr="00387F36" w:rsidRDefault="003C7278" w:rsidP="008A59B9">
      <w:pPr>
        <w:pStyle w:val="Heading3"/>
      </w:pPr>
      <w:bookmarkStart w:id="48" w:name="_Toc70878584"/>
      <w:bookmarkStart w:id="49" w:name="_Toc72198300"/>
      <w:r w:rsidRPr="00387F36">
        <w:t>Gas storage in Victoria and the importance of gas transfer to the west</w:t>
      </w:r>
      <w:bookmarkEnd w:id="48"/>
      <w:bookmarkEnd w:id="49"/>
    </w:p>
    <w:p w14:paraId="7239C66B" w14:textId="6763D983" w:rsidR="003C7278" w:rsidRPr="003C7278" w:rsidRDefault="003C7278" w:rsidP="002D2E07">
      <w:pPr>
        <w:pStyle w:val="BodyText"/>
      </w:pPr>
      <w:r>
        <w:t xml:space="preserve">Victoria’s </w:t>
      </w:r>
      <w:r w:rsidR="000A300D">
        <w:t>surplus</w:t>
      </w:r>
      <w:r w:rsidR="000A300D" w:rsidRPr="003C7278">
        <w:t xml:space="preserve"> </w:t>
      </w:r>
      <w:r w:rsidRPr="003C7278">
        <w:t>gas supply generated in summer is transferred to and stored at two storage facilities, the Iona Underground Storage Facility (UGS) in Port Campbell in the state’s west and the Dandenong LNG storage facility (LNGSF) located in south-east metropolitan Melbourne.</w:t>
      </w:r>
      <w:r w:rsidR="00D82914">
        <w:t xml:space="preserve"> An overview of gas supply circulation in Victoria is shown in </w:t>
      </w:r>
      <w:r w:rsidR="00D82914">
        <w:fldChar w:fldCharType="begin"/>
      </w:r>
      <w:r w:rsidR="00D82914">
        <w:instrText xml:space="preserve"> REF _Ref51081534 \h </w:instrText>
      </w:r>
      <w:r w:rsidR="00D82914">
        <w:fldChar w:fldCharType="separate"/>
      </w:r>
      <w:r w:rsidR="00387F36" w:rsidDel="000A300D">
        <w:t>Figure</w:t>
      </w:r>
      <w:r w:rsidR="00387F36">
        <w:t> </w:t>
      </w:r>
      <w:r w:rsidR="00387F36">
        <w:rPr>
          <w:noProof/>
        </w:rPr>
        <w:t>2</w:t>
      </w:r>
      <w:r w:rsidR="00387F36" w:rsidDel="000A300D">
        <w:noBreakHyphen/>
      </w:r>
      <w:r w:rsidR="00387F36">
        <w:rPr>
          <w:noProof/>
        </w:rPr>
        <w:t>5</w:t>
      </w:r>
      <w:r w:rsidR="00D82914">
        <w:fldChar w:fldCharType="end"/>
      </w:r>
      <w:r w:rsidR="00D82914">
        <w:t>.</w:t>
      </w:r>
    </w:p>
    <w:p w14:paraId="7F0016C5" w14:textId="05F9CDFD" w:rsidR="00D82914" w:rsidDel="000A300D" w:rsidRDefault="00D82914" w:rsidP="00D82914">
      <w:pPr>
        <w:pStyle w:val="Caption"/>
      </w:pPr>
      <w:bookmarkStart w:id="50" w:name="_Ref51081534"/>
      <w:r w:rsidDel="000A300D">
        <w:t>Figure</w:t>
      </w:r>
      <w:r w:rsidR="00C14E71">
        <w:t> </w:t>
      </w:r>
      <w:r w:rsidR="00BE54D2">
        <w:fldChar w:fldCharType="begin"/>
      </w:r>
      <w:r w:rsidR="00BE54D2">
        <w:instrText xml:space="preserve"> STYLEREF 1 \s </w:instrText>
      </w:r>
      <w:r w:rsidR="00BE54D2">
        <w:fldChar w:fldCharType="separate"/>
      </w:r>
      <w:r w:rsidR="00387F36">
        <w:rPr>
          <w:noProof/>
        </w:rPr>
        <w:t>2</w:t>
      </w:r>
      <w:r w:rsidR="00BE54D2">
        <w:rPr>
          <w:noProof/>
        </w:rPr>
        <w:fldChar w:fldCharType="end"/>
      </w:r>
      <w:r w:rsidDel="000A300D">
        <w:noBreakHyphen/>
      </w:r>
      <w:r w:rsidR="00BE54D2">
        <w:fldChar w:fldCharType="begin"/>
      </w:r>
      <w:r w:rsidR="00BE54D2">
        <w:instrText xml:space="preserve"> SEQ Figure \* ARABIC \s 1 </w:instrText>
      </w:r>
      <w:r w:rsidR="00BE54D2">
        <w:fldChar w:fldCharType="separate"/>
      </w:r>
      <w:r w:rsidR="00387F36">
        <w:rPr>
          <w:noProof/>
        </w:rPr>
        <w:t>5</w:t>
      </w:r>
      <w:r w:rsidR="00BE54D2">
        <w:rPr>
          <w:noProof/>
        </w:rPr>
        <w:fldChar w:fldCharType="end"/>
      </w:r>
      <w:bookmarkEnd w:id="50"/>
      <w:r w:rsidR="00774D83">
        <w:tab/>
      </w:r>
      <w:r w:rsidDel="000A300D">
        <w:t>Overview of general gas supply circulation routes in Victoria</w:t>
      </w:r>
    </w:p>
    <w:p w14:paraId="41767D7A" w14:textId="5795AC9A" w:rsidR="00D82914" w:rsidRDefault="00D82914" w:rsidP="00C14E71">
      <w:pPr>
        <w:pStyle w:val="Object"/>
      </w:pPr>
      <w:r w:rsidRPr="00D82914">
        <w:rPr>
          <w:noProof/>
          <w:lang w:eastAsia="en-AU"/>
        </w:rPr>
        <w:drawing>
          <wp:inline distT="0" distB="0" distL="0" distR="0" wp14:anchorId="650ACF74" wp14:editId="6F26ABFB">
            <wp:extent cx="5760000" cy="4862680"/>
            <wp:effectExtent l="0" t="0" r="0" b="0"/>
            <wp:docPr id="5" name="Picture 5" descr="This figure illustrates the overview of general gas supply circulation routes in Victoria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figure illustrates the overview of general gas supply circulation routes in Victoria as described in the text abov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00" cy="4862680"/>
                    </a:xfrm>
                    <a:prstGeom prst="rect">
                      <a:avLst/>
                    </a:prstGeom>
                    <a:noFill/>
                    <a:ln>
                      <a:noFill/>
                    </a:ln>
                  </pic:spPr>
                </pic:pic>
              </a:graphicData>
            </a:graphic>
          </wp:inline>
        </w:drawing>
      </w:r>
    </w:p>
    <w:p w14:paraId="240B8642" w14:textId="77777777" w:rsidR="00C14E71" w:rsidRPr="00C14E71" w:rsidRDefault="00C14E71" w:rsidP="00C14E71">
      <w:pPr>
        <w:pStyle w:val="Source"/>
      </w:pPr>
    </w:p>
    <w:p w14:paraId="2D7DEE62" w14:textId="7AD4C58B" w:rsidR="003C7278" w:rsidRPr="003C7278" w:rsidRDefault="003C7278" w:rsidP="002D2E07">
      <w:pPr>
        <w:pStyle w:val="BodyText"/>
      </w:pPr>
      <w:r>
        <w:lastRenderedPageBreak/>
        <w:t xml:space="preserve">The Iona </w:t>
      </w:r>
      <w:r w:rsidRPr="003C7278">
        <w:t>UGS is Victoria’s largest natural gas storage facility and is responsible for storing the majority of Victoria’s gas supplies. The facility has a storage reservoir capacity of 26</w:t>
      </w:r>
      <w:r w:rsidR="00CE185D">
        <w:t> </w:t>
      </w:r>
      <w:r w:rsidRPr="003C7278">
        <w:t>PJ, in comparison to the Dandenong LNGSF</w:t>
      </w:r>
      <w:r w:rsidR="00CE185D">
        <w:t>,</w:t>
      </w:r>
      <w:r w:rsidRPr="003C7278">
        <w:t xml:space="preserve"> which has a storage capacity of 0.68</w:t>
      </w:r>
      <w:r w:rsidR="00CE185D">
        <w:t> </w:t>
      </w:r>
      <w:r w:rsidRPr="003C7278">
        <w:t>PJ</w:t>
      </w:r>
      <w:r w:rsidRPr="003C7278">
        <w:rPr>
          <w:rStyle w:val="FootnoteReference"/>
        </w:rPr>
        <w:footnoteReference w:id="20"/>
      </w:r>
      <w:r w:rsidRPr="003C7278">
        <w:t>.</w:t>
      </w:r>
    </w:p>
    <w:p w14:paraId="532EF4A6" w14:textId="6850FA98" w:rsidR="003C7278" w:rsidRDefault="003C7278" w:rsidP="002D2E07">
      <w:pPr>
        <w:pStyle w:val="BodyText"/>
      </w:pPr>
      <w:r w:rsidRPr="000C357D">
        <w:t>Gas s</w:t>
      </w:r>
      <w:r>
        <w:t xml:space="preserve">tored at </w:t>
      </w:r>
      <w:r w:rsidRPr="000C357D">
        <w:t xml:space="preserve">the Iona UGS is crucial </w:t>
      </w:r>
      <w:r>
        <w:t>for meeting peak gas demand</w:t>
      </w:r>
      <w:r w:rsidRPr="000C357D">
        <w:t xml:space="preserve"> </w:t>
      </w:r>
      <w:r>
        <w:t xml:space="preserve">in Victoria. The facility has traditionally covered the shortfall in the state’s regular gas supply over winter, ensuring Victorians continue to have sufficient access to natural gas throughout the year. </w:t>
      </w:r>
      <w:r w:rsidR="00E65A4A">
        <w:t xml:space="preserve">However, </w:t>
      </w:r>
      <w:r>
        <w:t xml:space="preserve">sufficient storage volumes </w:t>
      </w:r>
      <w:r w:rsidR="00E65A4A">
        <w:t xml:space="preserve">must be </w:t>
      </w:r>
      <w:r>
        <w:t>achieved at the facility over summer before winter arrives</w:t>
      </w:r>
      <w:r w:rsidR="00E65A4A">
        <w:t>, in order to cover this</w:t>
      </w:r>
      <w:r w:rsidR="00C14E71">
        <w:t> </w:t>
      </w:r>
      <w:r w:rsidR="00E65A4A">
        <w:t>shortfall</w:t>
      </w:r>
      <w:r>
        <w:t xml:space="preserve">. </w:t>
      </w:r>
    </w:p>
    <w:p w14:paraId="4B6C7658" w14:textId="797DE27A" w:rsidR="003C7278" w:rsidRDefault="003C7278" w:rsidP="002D2E07">
      <w:pPr>
        <w:pStyle w:val="BodyText"/>
      </w:pPr>
      <w:r>
        <w:t>AEMO ha</w:t>
      </w:r>
      <w:r w:rsidR="00CE185D">
        <w:t>s</w:t>
      </w:r>
      <w:r>
        <w:t xml:space="preserve"> advised that there will be an increased reliance on gas storage at the Iona </w:t>
      </w:r>
      <w:r w:rsidR="00535128">
        <w:t>UGS</w:t>
      </w:r>
      <w:r>
        <w:t xml:space="preserve"> to meet peak winter demand as a result of forecast supply changes</w:t>
      </w:r>
      <w:r w:rsidR="00E65A4A">
        <w:rPr>
          <w:rStyle w:val="FootnoteReference"/>
        </w:rPr>
        <w:footnoteReference w:id="21"/>
      </w:r>
      <w:r>
        <w:t xml:space="preserve">. </w:t>
      </w:r>
      <w:r w:rsidR="00CE185D">
        <w:t>However, t</w:t>
      </w:r>
      <w:r>
        <w:t>hese supply changes</w:t>
      </w:r>
      <w:r w:rsidR="00CE185D">
        <w:t>,</w:t>
      </w:r>
      <w:r>
        <w:t xml:space="preserve"> in addition to current capacity constraints in the state’s gas distribution network</w:t>
      </w:r>
      <w:r w:rsidR="00CE185D">
        <w:t>,</w:t>
      </w:r>
      <w:r>
        <w:t xml:space="preserve"> ha</w:t>
      </w:r>
      <w:r w:rsidR="00CE185D">
        <w:t>ve</w:t>
      </w:r>
      <w:r>
        <w:t xml:space="preserve"> meant that </w:t>
      </w:r>
      <w:r w:rsidR="00CE185D">
        <w:t xml:space="preserve">surplus </w:t>
      </w:r>
      <w:r>
        <w:t xml:space="preserve">gas from supply sources particularly in Victoria’s east and north cannot be circulated to the Iona UGS in the west quickly enough to meet storage volume requirements for the following winter. </w:t>
      </w:r>
    </w:p>
    <w:p w14:paraId="3584BC0A" w14:textId="3025E2CE" w:rsidR="004839C6" w:rsidRDefault="003C7278" w:rsidP="002D2E07">
      <w:pPr>
        <w:pStyle w:val="BodyText"/>
      </w:pPr>
      <w:r>
        <w:t xml:space="preserve">This Project seeks to improve network capacity and </w:t>
      </w:r>
      <w:r w:rsidR="004839C6">
        <w:t>transfer of</w:t>
      </w:r>
      <w:r>
        <w:t xml:space="preserve"> gas supply to the Iona </w:t>
      </w:r>
      <w:r w:rsidR="00535128">
        <w:t>UGS</w:t>
      </w:r>
      <w:r>
        <w:t xml:space="preserve"> during the summer, to ensure secure and reliable gas supply </w:t>
      </w:r>
      <w:r w:rsidR="00CE185D">
        <w:t xml:space="preserve">for </w:t>
      </w:r>
      <w:r>
        <w:t xml:space="preserve">Victorians when they need it most. </w:t>
      </w:r>
    </w:p>
    <w:p w14:paraId="76A02BD0" w14:textId="77777777" w:rsidR="003C7278" w:rsidRPr="00387F36" w:rsidRDefault="003C7278" w:rsidP="008A59B9">
      <w:pPr>
        <w:pStyle w:val="Heading3"/>
      </w:pPr>
      <w:bookmarkStart w:id="51" w:name="_Toc70878585"/>
      <w:bookmarkStart w:id="52" w:name="_Toc72198301"/>
      <w:r w:rsidRPr="00387F36">
        <w:t>How Victoria’s gas supply is sourced and circulated to customers</w:t>
      </w:r>
      <w:bookmarkEnd w:id="51"/>
      <w:bookmarkEnd w:id="52"/>
      <w:r w:rsidRPr="00387F36">
        <w:t xml:space="preserve"> </w:t>
      </w:r>
    </w:p>
    <w:p w14:paraId="79BDCA16" w14:textId="08381582" w:rsidR="003C7278" w:rsidRDefault="003C7278" w:rsidP="002D2E07">
      <w:pPr>
        <w:pStyle w:val="BodyText"/>
      </w:pPr>
      <w:r w:rsidRPr="00724547">
        <w:t>Most of the gas that</w:t>
      </w:r>
      <w:r>
        <w:t xml:space="preserve"> currently</w:t>
      </w:r>
      <w:r w:rsidRPr="00724547">
        <w:t xml:space="preserve"> supplies Victoria </w:t>
      </w:r>
      <w:r>
        <w:t xml:space="preserve">originates from </w:t>
      </w:r>
      <w:r w:rsidRPr="00724547">
        <w:t>the Gippsland Basin</w:t>
      </w:r>
      <w:r>
        <w:t>, which is an offshore gas field near Lakes Entrance on the eastern side of the state. S</w:t>
      </w:r>
      <w:r w:rsidRPr="00724547">
        <w:t xml:space="preserve">maller volumes </w:t>
      </w:r>
      <w:r>
        <w:t>of gas are also sourced from other offshore fields including</w:t>
      </w:r>
      <w:r w:rsidRPr="00724547">
        <w:t xml:space="preserve"> </w:t>
      </w:r>
      <w:r>
        <w:t xml:space="preserve">the Bass Basin near Lang </w:t>
      </w:r>
      <w:proofErr w:type="spellStart"/>
      <w:r>
        <w:t>Lang</w:t>
      </w:r>
      <w:proofErr w:type="spellEnd"/>
      <w:r w:rsidR="00A050CF">
        <w:t>,</w:t>
      </w:r>
      <w:r>
        <w:t xml:space="preserve"> also in Victoria’s east, and the Otway Basin near </w:t>
      </w:r>
      <w:r w:rsidRPr="00724547">
        <w:t>Port Campbell</w:t>
      </w:r>
      <w:r>
        <w:t xml:space="preserve"> on the western side of Victoria.</w:t>
      </w:r>
      <w:r w:rsidRPr="00724547">
        <w:t xml:space="preserve"> </w:t>
      </w:r>
    </w:p>
    <w:p w14:paraId="00FEB431" w14:textId="387AD8BF" w:rsidR="003C7278" w:rsidRDefault="003C7278" w:rsidP="002D2E07">
      <w:pPr>
        <w:pStyle w:val="BodyText"/>
      </w:pPr>
      <w:r>
        <w:t>Once onshore, natural gas is processed and then supplied to customers via</w:t>
      </w:r>
      <w:r w:rsidRPr="00C217D7">
        <w:t xml:space="preserve"> a series of high pressure transmission pipelines </w:t>
      </w:r>
      <w:r w:rsidR="00A050CF">
        <w:t>known as</w:t>
      </w:r>
      <w:r w:rsidR="00A050CF" w:rsidRPr="00C217D7">
        <w:t xml:space="preserve"> </w:t>
      </w:r>
      <w:r w:rsidRPr="00C217D7">
        <w:t xml:space="preserve">the Victorian Transmission System (VTS), as well as a number of lower pressure distribution networks. </w:t>
      </w:r>
      <w:r w:rsidRPr="009A4C8A">
        <w:t xml:space="preserve">The VTS is owned </w:t>
      </w:r>
      <w:r w:rsidR="003C3AC2">
        <w:t xml:space="preserve">and maintained </w:t>
      </w:r>
      <w:r w:rsidRPr="009A4C8A">
        <w:t>by APA.</w:t>
      </w:r>
      <w:r>
        <w:t xml:space="preserve"> </w:t>
      </w:r>
    </w:p>
    <w:p w14:paraId="46537B91" w14:textId="502830D9" w:rsidR="003C7278" w:rsidRDefault="003C7278" w:rsidP="002D2E07">
      <w:pPr>
        <w:pStyle w:val="BodyText"/>
      </w:pPr>
      <w:r w:rsidRPr="00C217D7">
        <w:t xml:space="preserve">The VTS </w:t>
      </w:r>
      <w:r>
        <w:t>comprises approximately 2,267 kilometres of high pressure pipelines separated into</w:t>
      </w:r>
      <w:r w:rsidRPr="00C217D7">
        <w:t xml:space="preserve"> three main branches:</w:t>
      </w:r>
    </w:p>
    <w:p w14:paraId="0BB83343" w14:textId="30E6E168" w:rsidR="003C7278" w:rsidRPr="003C7278" w:rsidRDefault="003C7278" w:rsidP="002D2E07">
      <w:pPr>
        <w:pStyle w:val="BodyBullet1"/>
      </w:pPr>
      <w:r w:rsidRPr="00C217D7">
        <w:t xml:space="preserve">The </w:t>
      </w:r>
      <w:r w:rsidRPr="003C7278">
        <w:t>Longford Dandenong Pipeline (LDP) in Victoria’s east, which moves gas from the Gippsland Basin and Bass Basin to Melbourne</w:t>
      </w:r>
    </w:p>
    <w:p w14:paraId="34933827" w14:textId="24620DD4" w:rsidR="003C7278" w:rsidRPr="003C7278" w:rsidRDefault="003C7278" w:rsidP="002D2E07">
      <w:pPr>
        <w:pStyle w:val="BodyBullet1"/>
      </w:pPr>
      <w:r w:rsidRPr="00C217D7">
        <w:t>The Victorian Northern Interconnect (VNI) in Victoria’</w:t>
      </w:r>
      <w:r w:rsidRPr="003C7278">
        <w:t>s north, which moves gas interstate between Victoria and New South Wales</w:t>
      </w:r>
    </w:p>
    <w:p w14:paraId="0EDE0D75" w14:textId="26D68822" w:rsidR="003C7278" w:rsidRPr="003C7278" w:rsidRDefault="003C7278" w:rsidP="002D2E07">
      <w:pPr>
        <w:pStyle w:val="BodyBullet1"/>
      </w:pPr>
      <w:r w:rsidRPr="00C217D7">
        <w:t>The South West Pipeline (SWP) in Victoria’</w:t>
      </w:r>
      <w:r w:rsidRPr="003C7278">
        <w:t xml:space="preserve">s west, which moves gas from the Otway Basin and the Iona </w:t>
      </w:r>
      <w:r w:rsidR="00535128">
        <w:t>UGS</w:t>
      </w:r>
      <w:r w:rsidRPr="003C7278">
        <w:t xml:space="preserve"> to Melbourne. </w:t>
      </w:r>
    </w:p>
    <w:p w14:paraId="77B6FA72" w14:textId="60B93696" w:rsidR="003C7278" w:rsidRDefault="003C7278" w:rsidP="003530E6">
      <w:pPr>
        <w:pStyle w:val="BodyText"/>
      </w:pPr>
      <w:r>
        <w:t xml:space="preserve">Supporting the VTS is an </w:t>
      </w:r>
      <w:r w:rsidRPr="00CA08FE">
        <w:t xml:space="preserve">approximately </w:t>
      </w:r>
      <w:r w:rsidRPr="00E93E36">
        <w:t xml:space="preserve">93 km long </w:t>
      </w:r>
      <w:r>
        <w:t>high</w:t>
      </w:r>
      <w:r w:rsidR="00A050CF">
        <w:t xml:space="preserve"> </w:t>
      </w:r>
      <w:r w:rsidRPr="00A77F7B">
        <w:t>pressure</w:t>
      </w:r>
      <w:r>
        <w:t xml:space="preserve"> pipeline</w:t>
      </w:r>
      <w:r w:rsidRPr="00A77F7B">
        <w:t xml:space="preserve"> </w:t>
      </w:r>
      <w:r>
        <w:t xml:space="preserve">connection linking the LDP in the east and the VNI in the north, </w:t>
      </w:r>
      <w:r w:rsidRPr="00A77F7B">
        <w:t xml:space="preserve">called the Pakenham to Wollert Gas Pipeline (also known as the Outer Ring Main). This link </w:t>
      </w:r>
      <w:r>
        <w:t>enables gas to be sent</w:t>
      </w:r>
      <w:r w:rsidRPr="00A77F7B">
        <w:t xml:space="preserve"> under high pressure between </w:t>
      </w:r>
      <w:r>
        <w:t>the east and north of Victoria with great efficiency, circulating larger volumes of gas to customers across the network in a timely and cost-effective manner.</w:t>
      </w:r>
    </w:p>
    <w:p w14:paraId="41B2E96A" w14:textId="7B94F0D9" w:rsidR="003C7278" w:rsidRDefault="003C7278" w:rsidP="002D2E07">
      <w:pPr>
        <w:pStyle w:val="BodyText"/>
      </w:pPr>
      <w:r>
        <w:lastRenderedPageBreak/>
        <w:t>An equivalent high</w:t>
      </w:r>
      <w:r w:rsidR="00A050CF">
        <w:t xml:space="preserve"> </w:t>
      </w:r>
      <w:r>
        <w:t>pressure pipeline connection</w:t>
      </w:r>
      <w:r w:rsidRPr="00820974">
        <w:t xml:space="preserve"> </w:t>
      </w:r>
      <w:r>
        <w:t>between t</w:t>
      </w:r>
      <w:r w:rsidRPr="00820974">
        <w:t>he SWP</w:t>
      </w:r>
      <w:r>
        <w:t xml:space="preserve"> (and Iona UGS) </w:t>
      </w:r>
      <w:r w:rsidRPr="00820974">
        <w:t xml:space="preserve">in the west </w:t>
      </w:r>
      <w:r>
        <w:t>and the</w:t>
      </w:r>
      <w:r w:rsidRPr="00820974">
        <w:t xml:space="preserve"> </w:t>
      </w:r>
      <w:r>
        <w:t xml:space="preserve">balance of the VTS does not exist, and remains a missing link in Victoria’s </w:t>
      </w:r>
      <w:r w:rsidR="00A050CF">
        <w:t>high pressure</w:t>
      </w:r>
      <w:r>
        <w:t xml:space="preserve"> gas pipeline network</w:t>
      </w:r>
      <w:r w:rsidRPr="00820974">
        <w:t xml:space="preserve">. </w:t>
      </w:r>
    </w:p>
    <w:p w14:paraId="07B1670C" w14:textId="5E6BF231" w:rsidR="003C7278" w:rsidRDefault="003C7278" w:rsidP="002D2E07">
      <w:pPr>
        <w:pStyle w:val="BodyText"/>
      </w:pPr>
      <w:r>
        <w:t>This creates bottlenecks for gas circulation to and from the west of Victoria and the Iona UGS, as gas needs to flow through the low pressure gas distribution network as it crosses central Melbourne. The</w:t>
      </w:r>
      <w:r w:rsidR="005A1C08">
        <w:t> </w:t>
      </w:r>
      <w:r>
        <w:t>low</w:t>
      </w:r>
      <w:r w:rsidR="00A050CF">
        <w:t xml:space="preserve"> </w:t>
      </w:r>
      <w:r>
        <w:t>pressure network circulates gas at a slower rate tha</w:t>
      </w:r>
      <w:r w:rsidR="00A050CF">
        <w:t>n</w:t>
      </w:r>
      <w:r>
        <w:t xml:space="preserve"> the high</w:t>
      </w:r>
      <w:r w:rsidR="00A050CF">
        <w:t xml:space="preserve"> </w:t>
      </w:r>
      <w:r>
        <w:t xml:space="preserve">pressure network, and is constrained by pipeline capacity limits. Gas pressure also needs to be converted at network transition points between the high and low pressure networks, adding further </w:t>
      </w:r>
      <w:r w:rsidR="003530E6">
        <w:t xml:space="preserve">time </w:t>
      </w:r>
      <w:r>
        <w:t>to the transfer of gas to and from the west of Victoria.</w:t>
      </w:r>
    </w:p>
    <w:p w14:paraId="3BCADB2D" w14:textId="1697DD2D" w:rsidR="003C7278" w:rsidRDefault="003C7278" w:rsidP="002D2E07">
      <w:pPr>
        <w:pStyle w:val="BodyText"/>
      </w:pPr>
      <w:r>
        <w:t xml:space="preserve">Without a </w:t>
      </w:r>
      <w:proofErr w:type="gramStart"/>
      <w:r>
        <w:t>high</w:t>
      </w:r>
      <w:r w:rsidR="00A050CF">
        <w:t xml:space="preserve"> </w:t>
      </w:r>
      <w:r>
        <w:t>pressure</w:t>
      </w:r>
      <w:proofErr w:type="gramEnd"/>
      <w:r>
        <w:t xml:space="preserve"> pipeline connection from the west through to the east and north, the ability to efficiently move gas to and from the Iona UGS and SWP remains significantly constrained </w:t>
      </w:r>
      <w:r w:rsidR="003530E6">
        <w:t xml:space="preserve">by the existing low pressure network </w:t>
      </w:r>
      <w:r>
        <w:t>and is a key contributor to forecast gas supply shortages in the coming years</w:t>
      </w:r>
      <w:r w:rsidR="00160911">
        <w:t xml:space="preserve"> (refer Section </w:t>
      </w:r>
      <w:r w:rsidR="00160911">
        <w:fldChar w:fldCharType="begin"/>
      </w:r>
      <w:r w:rsidR="00160911">
        <w:instrText xml:space="preserve"> REF _Ref47527957 \r \h </w:instrText>
      </w:r>
      <w:r w:rsidR="00160911">
        <w:fldChar w:fldCharType="separate"/>
      </w:r>
      <w:r w:rsidR="00387F36">
        <w:t>2.3.2</w:t>
      </w:r>
      <w:r w:rsidR="00160911">
        <w:fldChar w:fldCharType="end"/>
      </w:r>
      <w:r w:rsidR="00160911">
        <w:t>)</w:t>
      </w:r>
      <w:r>
        <w:t>.</w:t>
      </w:r>
    </w:p>
    <w:p w14:paraId="70472071" w14:textId="0A8E3339" w:rsidR="003C7278" w:rsidRPr="003C7278" w:rsidRDefault="003C7278" w:rsidP="008A59B9">
      <w:pPr>
        <w:pStyle w:val="Heading3"/>
      </w:pPr>
      <w:bookmarkStart w:id="53" w:name="_Ref45116729"/>
      <w:bookmarkStart w:id="54" w:name="_Toc70878586"/>
      <w:bookmarkStart w:id="55" w:name="_Toc72198302"/>
      <w:r w:rsidRPr="00387F36">
        <w:t>Changes to gas supply and circulation routes</w:t>
      </w:r>
      <w:r>
        <w:t xml:space="preserve"> in</w:t>
      </w:r>
      <w:r w:rsidR="00C14E71">
        <w:t> </w:t>
      </w:r>
      <w:r>
        <w:t>Victoria</w:t>
      </w:r>
      <w:bookmarkEnd w:id="53"/>
      <w:bookmarkEnd w:id="54"/>
      <w:bookmarkEnd w:id="55"/>
    </w:p>
    <w:p w14:paraId="73B479BF" w14:textId="712CD37B" w:rsidR="003C7278" w:rsidRDefault="003C7278" w:rsidP="002D2E07">
      <w:pPr>
        <w:pStyle w:val="BodyText"/>
      </w:pPr>
      <w:r>
        <w:t xml:space="preserve">Supply challenges due to the lack of a </w:t>
      </w:r>
      <w:r w:rsidR="00A050CF">
        <w:t>high pressure</w:t>
      </w:r>
      <w:r>
        <w:t xml:space="preserve"> pipeline link between Victoria’s west and the eastern and northern parts of the state are further compounded by forecast changes to gas supply locations and circulation routes across Victoria.</w:t>
      </w:r>
    </w:p>
    <w:p w14:paraId="01EA4D5E" w14:textId="76CA558D" w:rsidR="003C7278" w:rsidRDefault="00193939" w:rsidP="002D2E07">
      <w:pPr>
        <w:pStyle w:val="BodyText"/>
      </w:pPr>
      <w:r>
        <w:t>While</w:t>
      </w:r>
      <w:r w:rsidR="003C7278" w:rsidRPr="000C357D">
        <w:t xml:space="preserve"> gas supplies for the Iona UGS come from both the Otway</w:t>
      </w:r>
      <w:r w:rsidR="003C7278">
        <w:t xml:space="preserve"> (west) </w:t>
      </w:r>
      <w:r w:rsidR="003C7278" w:rsidRPr="000C357D">
        <w:t>and Gippsland</w:t>
      </w:r>
      <w:r w:rsidR="003C7278">
        <w:t xml:space="preserve"> and Bass B</w:t>
      </w:r>
      <w:r w:rsidR="003C7278" w:rsidRPr="000C357D">
        <w:t>asins</w:t>
      </w:r>
      <w:r w:rsidR="003C7278">
        <w:t xml:space="preserve"> (east)</w:t>
      </w:r>
      <w:r w:rsidR="003C7278" w:rsidRPr="000C357D">
        <w:t>, gas production from the Otway Basin has declined significantly in recent years</w:t>
      </w:r>
      <w:r w:rsidR="003C7278">
        <w:t xml:space="preserve">. </w:t>
      </w:r>
      <w:r w:rsidR="00071DE1">
        <w:t>In the 2020 VGPR Update g</w:t>
      </w:r>
      <w:r w:rsidR="003C7278">
        <w:t xml:space="preserve">as supply from existing offshore gas fields in the Otway Basin </w:t>
      </w:r>
      <w:r w:rsidR="00071DE1">
        <w:t>was predicted</w:t>
      </w:r>
      <w:r w:rsidR="003C7278">
        <w:t xml:space="preserve"> to deplete in 2023, reducing annual gas production in Port Cam</w:t>
      </w:r>
      <w:r w:rsidR="00EF73BC">
        <w:t>p</w:t>
      </w:r>
      <w:r w:rsidR="003C7278">
        <w:t>bell (where the Iona UGS is located) from 32 PJ in 2022 to 1 PJ in 2023</w:t>
      </w:r>
      <w:r w:rsidR="00E74CDD">
        <w:rPr>
          <w:rStyle w:val="FootnoteReference"/>
        </w:rPr>
        <w:footnoteReference w:id="22"/>
      </w:r>
      <w:r w:rsidR="003C7278">
        <w:t>.</w:t>
      </w:r>
      <w:r w:rsidR="00071DE1">
        <w:t xml:space="preserve"> </w:t>
      </w:r>
      <w:r w:rsidR="00733007">
        <w:t>The</w:t>
      </w:r>
      <w:r w:rsidR="00071DE1">
        <w:t xml:space="preserve"> commitment to redevelop existing fields within the offshore Otway Basin has resulted</w:t>
      </w:r>
      <w:r w:rsidR="008E58B8">
        <w:t xml:space="preserve"> </w:t>
      </w:r>
      <w:r w:rsidR="00071DE1">
        <w:t>in a forecasted increase of Port Campbell's production from 44 PJ in 2021 to 67 PJ in 2023, before declining to 52 PJ in 2025</w:t>
      </w:r>
      <w:r w:rsidR="00071DE1">
        <w:rPr>
          <w:rStyle w:val="FootnoteReference"/>
        </w:rPr>
        <w:footnoteReference w:id="23"/>
      </w:r>
      <w:r w:rsidR="00071DE1">
        <w:t xml:space="preserve">. </w:t>
      </w:r>
    </w:p>
    <w:p w14:paraId="3AD41F21" w14:textId="5D4C326D" w:rsidR="003C7278" w:rsidRDefault="003C7278" w:rsidP="002D2E07">
      <w:pPr>
        <w:pStyle w:val="BodyText"/>
      </w:pPr>
      <w:r>
        <w:t xml:space="preserve">Gas supply is also expected to decline from the Gippsland Basin in the state’s east as some gas fields within this basin reach the end of </w:t>
      </w:r>
      <w:r w:rsidR="00A050CF">
        <w:t xml:space="preserve">their </w:t>
      </w:r>
      <w:r>
        <w:t>life by 2024. Despite this decline, Gippsland’s annual supply in 2024 is still forecast to be around 201 PJ</w:t>
      </w:r>
      <w:r w:rsidR="00A050CF">
        <w:t>,</w:t>
      </w:r>
      <w:r>
        <w:t xml:space="preserve"> and as such will continue to be the major source of gas supply for Victoria and the Iona UGS for the future.</w:t>
      </w:r>
      <w:r w:rsidR="008316A1">
        <w:t xml:space="preserve"> Furthermore, anticipated future gas supply projects in Victoria are expected to result in further supply sources being established in the state's east</w:t>
      </w:r>
      <w:r w:rsidR="00364DB7">
        <w:t xml:space="preserve">, noting </w:t>
      </w:r>
      <w:r w:rsidR="00364DB7" w:rsidDel="009B4669">
        <w:t xml:space="preserve">while </w:t>
      </w:r>
      <w:r w:rsidR="00364DB7">
        <w:t>the Crib Point project may not proceed but is only one of a number of potential supply source projects in the east</w:t>
      </w:r>
      <w:r w:rsidR="00364DB7">
        <w:rPr>
          <w:rStyle w:val="FootnoteReference"/>
        </w:rPr>
        <w:footnoteReference w:id="24"/>
      </w:r>
      <w:r w:rsidR="008316A1">
        <w:t xml:space="preserve">. </w:t>
      </w:r>
      <w:r>
        <w:t>If the</w:t>
      </w:r>
      <w:r w:rsidR="007A51F4">
        <w:t xml:space="preserve">se supply </w:t>
      </w:r>
      <w:r>
        <w:t>project</w:t>
      </w:r>
      <w:r w:rsidR="007A51F4">
        <w:t>s</w:t>
      </w:r>
      <w:r>
        <w:t xml:space="preserve"> proceed, this would add a further critical gas supply point to Victoria’s east and </w:t>
      </w:r>
      <w:r w:rsidR="000359BB">
        <w:t>would require greater</w:t>
      </w:r>
      <w:r>
        <w:t xml:space="preserve"> gas </w:t>
      </w:r>
      <w:r w:rsidR="000359BB">
        <w:t>volumes</w:t>
      </w:r>
      <w:r>
        <w:t xml:space="preserve"> </w:t>
      </w:r>
      <w:r w:rsidR="000359BB">
        <w:t>to be transferred</w:t>
      </w:r>
      <w:r>
        <w:t xml:space="preserve"> </w:t>
      </w:r>
      <w:r w:rsidR="000359BB">
        <w:t>from the state's east to</w:t>
      </w:r>
      <w:r w:rsidR="00C14E71">
        <w:t> </w:t>
      </w:r>
      <w:r w:rsidR="000359BB">
        <w:t>west.</w:t>
      </w:r>
    </w:p>
    <w:p w14:paraId="76BB0921" w14:textId="784FCC20" w:rsidR="003C7278" w:rsidRDefault="003C7278" w:rsidP="002D2E07">
      <w:pPr>
        <w:pStyle w:val="BodyText"/>
      </w:pPr>
      <w:r>
        <w:t xml:space="preserve">If the bottlenecks in the current </w:t>
      </w:r>
      <w:r w:rsidR="000359BB">
        <w:t>gas circulation network</w:t>
      </w:r>
      <w:r>
        <w:t xml:space="preserve"> are not remedied </w:t>
      </w:r>
      <w:r w:rsidR="00A050CF">
        <w:t xml:space="preserve">before </w:t>
      </w:r>
      <w:r>
        <w:t xml:space="preserve">2023, the maximum volume of gas </w:t>
      </w:r>
      <w:r w:rsidR="00A050CF">
        <w:t xml:space="preserve">that </w:t>
      </w:r>
      <w:r>
        <w:t xml:space="preserve">can be transferred across the existing gas network from </w:t>
      </w:r>
      <w:r w:rsidR="000359BB">
        <w:t>Victoria's east</w:t>
      </w:r>
      <w:r>
        <w:t xml:space="preserve"> to the Iona UGS </w:t>
      </w:r>
      <w:r w:rsidR="00A050CF">
        <w:t xml:space="preserve">may </w:t>
      </w:r>
      <w:r>
        <w:t>not be sufficient to ensure gas supply security for Victoria in peak demand periods from winter 2023 onwards.</w:t>
      </w:r>
    </w:p>
    <w:p w14:paraId="005A3685" w14:textId="6E6D6430" w:rsidR="003C7278" w:rsidRPr="00387F36" w:rsidRDefault="008E3D9D" w:rsidP="008A59B9">
      <w:pPr>
        <w:pStyle w:val="Heading2"/>
      </w:pPr>
      <w:bookmarkStart w:id="56" w:name="_Toc70878587"/>
      <w:bookmarkStart w:id="57" w:name="_Toc72198303"/>
      <w:r w:rsidRPr="00387F36">
        <w:lastRenderedPageBreak/>
        <w:t xml:space="preserve">The Project's </w:t>
      </w:r>
      <w:r w:rsidR="003C7278" w:rsidRPr="00387F36">
        <w:t>contribution to Victoria’s energy security, efficiency and</w:t>
      </w:r>
      <w:r w:rsidR="000E7A0C" w:rsidRPr="00387F36">
        <w:t> </w:t>
      </w:r>
      <w:r w:rsidR="003C7278" w:rsidRPr="00387F36">
        <w:t>affordability</w:t>
      </w:r>
      <w:bookmarkEnd w:id="56"/>
      <w:bookmarkEnd w:id="57"/>
    </w:p>
    <w:p w14:paraId="1FEA45CA" w14:textId="77777777" w:rsidR="003C7278" w:rsidRPr="00387F36" w:rsidRDefault="003C7278" w:rsidP="008A59B9">
      <w:pPr>
        <w:pStyle w:val="Heading3"/>
      </w:pPr>
      <w:bookmarkStart w:id="58" w:name="_Toc70878588"/>
      <w:bookmarkStart w:id="59" w:name="_Toc72198304"/>
      <w:r w:rsidRPr="00387F36">
        <w:t>The missing link in the network</w:t>
      </w:r>
      <w:bookmarkEnd w:id="58"/>
      <w:bookmarkEnd w:id="59"/>
    </w:p>
    <w:p w14:paraId="79841612" w14:textId="3B7CD578" w:rsidR="003C7278" w:rsidRDefault="003C7278" w:rsidP="002D2E07">
      <w:pPr>
        <w:pStyle w:val="BodyText"/>
      </w:pPr>
      <w:r>
        <w:t xml:space="preserve">WORM responds to the forecast changes in supply source locations and would directly support the </w:t>
      </w:r>
      <w:r w:rsidR="00A050CF">
        <w:t xml:space="preserve">timely </w:t>
      </w:r>
      <w:r>
        <w:t xml:space="preserve">transfer of higher volumes of gas from the east to the west of the state. </w:t>
      </w:r>
    </w:p>
    <w:p w14:paraId="5B4FA7E6" w14:textId="52A32CF4" w:rsidR="003C7278" w:rsidRPr="00F632F5" w:rsidRDefault="003C7278" w:rsidP="002D2E07">
      <w:pPr>
        <w:pStyle w:val="BodyText"/>
      </w:pPr>
      <w:r w:rsidRPr="00F84AA7">
        <w:t xml:space="preserve">To ensure Victoria’s gas </w:t>
      </w:r>
      <w:r>
        <w:t xml:space="preserve">transmission </w:t>
      </w:r>
      <w:r w:rsidRPr="00F84AA7">
        <w:t xml:space="preserve">network can keep up with peak demand in the future, the </w:t>
      </w:r>
      <w:r w:rsidR="00A03935">
        <w:t>Project</w:t>
      </w:r>
      <w:r w:rsidR="00A03935" w:rsidRPr="00F84AA7">
        <w:t xml:space="preserve"> </w:t>
      </w:r>
      <w:r w:rsidRPr="00F84AA7">
        <w:t xml:space="preserve">proposes to connect the SWP to the VNI and fill in this missing link in Victoria’s </w:t>
      </w:r>
      <w:r w:rsidR="00A050CF">
        <w:t>high pressure</w:t>
      </w:r>
      <w:r w:rsidRPr="00F84AA7">
        <w:t xml:space="preserve"> gas </w:t>
      </w:r>
      <w:r>
        <w:t xml:space="preserve">transmission </w:t>
      </w:r>
      <w:r w:rsidRPr="00F84AA7">
        <w:t xml:space="preserve">network. This </w:t>
      </w:r>
      <w:r>
        <w:t>would</w:t>
      </w:r>
      <w:r w:rsidRPr="00F84AA7">
        <w:t xml:space="preserve"> allow gas to be circulated across Victoria with greater efficiency </w:t>
      </w:r>
      <w:r w:rsidR="0095631F">
        <w:t>by</w:t>
      </w:r>
      <w:r w:rsidR="0095631F" w:rsidRPr="00F84AA7">
        <w:t xml:space="preserve"> </w:t>
      </w:r>
      <w:r w:rsidRPr="00F84AA7">
        <w:t xml:space="preserve">allowing increased transfer capacity from one side </w:t>
      </w:r>
      <w:r w:rsidRPr="00F632F5">
        <w:t>of the state to the other.</w:t>
      </w:r>
    </w:p>
    <w:p w14:paraId="19E90A09" w14:textId="63EBFAEE" w:rsidR="003C7278" w:rsidRPr="00896961" w:rsidRDefault="00522DC7" w:rsidP="002D2E07">
      <w:pPr>
        <w:pStyle w:val="BodyText"/>
        <w:rPr>
          <w:highlight w:val="yellow"/>
        </w:rPr>
      </w:pPr>
      <w:r>
        <w:fldChar w:fldCharType="begin"/>
      </w:r>
      <w:r>
        <w:instrText xml:space="preserve"> REF _Ref47520277 \h </w:instrText>
      </w:r>
      <w:r>
        <w:fldChar w:fldCharType="separate"/>
      </w:r>
      <w:r w:rsidR="00387F36" w:rsidDel="001D3B9E">
        <w:t>Figure</w:t>
      </w:r>
      <w:r w:rsidR="00387F36">
        <w:t> </w:t>
      </w:r>
      <w:r w:rsidR="00387F36">
        <w:rPr>
          <w:noProof/>
        </w:rPr>
        <w:t>2</w:t>
      </w:r>
      <w:r w:rsidR="00387F36" w:rsidDel="001D3B9E">
        <w:noBreakHyphen/>
      </w:r>
      <w:r w:rsidR="00387F36">
        <w:rPr>
          <w:noProof/>
        </w:rPr>
        <w:t>6</w:t>
      </w:r>
      <w:r>
        <w:fldChar w:fldCharType="end"/>
      </w:r>
      <w:r w:rsidR="00CA08FE">
        <w:t xml:space="preserve"> </w:t>
      </w:r>
      <w:r w:rsidR="003C7278" w:rsidRPr="00F632F5">
        <w:t>represents the existing gas network servicing Victoria</w:t>
      </w:r>
      <w:r w:rsidR="003C7278" w:rsidRPr="00F84AA7">
        <w:t xml:space="preserve"> and shows the proposed WORM high pressure pipeline connection that </w:t>
      </w:r>
      <w:r w:rsidR="003C7278">
        <w:t>would</w:t>
      </w:r>
      <w:r w:rsidR="003C7278" w:rsidRPr="00F84AA7">
        <w:t xml:space="preserve"> be constructed to address current network constraints. </w:t>
      </w:r>
    </w:p>
    <w:p w14:paraId="43F60E79" w14:textId="0559870A" w:rsidR="00522DC7" w:rsidDel="001D3B9E" w:rsidRDefault="00522DC7" w:rsidP="00522DC7">
      <w:pPr>
        <w:pStyle w:val="Caption"/>
      </w:pPr>
      <w:bookmarkStart w:id="60" w:name="_Ref47520277"/>
      <w:r w:rsidDel="001D3B9E">
        <w:t>Figure</w:t>
      </w:r>
      <w:r w:rsidR="00C14E71">
        <w:t> </w:t>
      </w:r>
      <w:r w:rsidR="00BE54D2">
        <w:fldChar w:fldCharType="begin"/>
      </w:r>
      <w:r w:rsidR="00BE54D2">
        <w:instrText xml:space="preserve"> STYLEREF 1 \s </w:instrText>
      </w:r>
      <w:r w:rsidR="00BE54D2">
        <w:fldChar w:fldCharType="separate"/>
      </w:r>
      <w:r w:rsidR="00387F36">
        <w:rPr>
          <w:noProof/>
        </w:rPr>
        <w:t>2</w:t>
      </w:r>
      <w:r w:rsidR="00BE54D2">
        <w:rPr>
          <w:noProof/>
        </w:rPr>
        <w:fldChar w:fldCharType="end"/>
      </w:r>
      <w:r w:rsidR="004B09E7" w:rsidDel="001D3B9E">
        <w:noBreakHyphen/>
      </w:r>
      <w:r w:rsidR="00BE54D2">
        <w:fldChar w:fldCharType="begin"/>
      </w:r>
      <w:r w:rsidR="00BE54D2">
        <w:instrText xml:space="preserve"> SEQ Figure \* ARABIC \s 1 </w:instrText>
      </w:r>
      <w:r w:rsidR="00BE54D2">
        <w:fldChar w:fldCharType="separate"/>
      </w:r>
      <w:r w:rsidR="00387F36">
        <w:rPr>
          <w:noProof/>
        </w:rPr>
        <w:t>6</w:t>
      </w:r>
      <w:r w:rsidR="00BE54D2">
        <w:rPr>
          <w:noProof/>
        </w:rPr>
        <w:fldChar w:fldCharType="end"/>
      </w:r>
      <w:bookmarkEnd w:id="60"/>
      <w:r w:rsidR="00774D83">
        <w:tab/>
      </w:r>
      <w:r w:rsidR="0038594D" w:rsidDel="001D3B9E">
        <w:t>Overview of Victoria's gas infrastructure network and the WORM</w:t>
      </w:r>
    </w:p>
    <w:p w14:paraId="15DA0E79" w14:textId="38B08AA4" w:rsidR="00AB4E04" w:rsidRDefault="0038594D" w:rsidP="00C14E71">
      <w:pPr>
        <w:pStyle w:val="Object"/>
        <w:rPr>
          <w:highlight w:val="yellow"/>
        </w:rPr>
      </w:pPr>
      <w:r w:rsidRPr="0038594D">
        <w:rPr>
          <w:noProof/>
          <w:lang w:eastAsia="en-AU"/>
        </w:rPr>
        <w:drawing>
          <wp:inline distT="0" distB="0" distL="0" distR="0" wp14:anchorId="2A857DDE" wp14:editId="5B92B3BE">
            <wp:extent cx="5760000" cy="3741031"/>
            <wp:effectExtent l="0" t="0" r="0" b="0"/>
            <wp:docPr id="4" name="Picture 4" descr="This figure shows the context of the WORM project within the Victorian Transmission System (VTS)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figure shows the context of the WORM project within the Victorian Transmission System (VTS) as described in the text abov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00" cy="3741031"/>
                    </a:xfrm>
                    <a:prstGeom prst="rect">
                      <a:avLst/>
                    </a:prstGeom>
                    <a:noFill/>
                    <a:ln>
                      <a:noFill/>
                    </a:ln>
                  </pic:spPr>
                </pic:pic>
              </a:graphicData>
            </a:graphic>
          </wp:inline>
        </w:drawing>
      </w:r>
    </w:p>
    <w:p w14:paraId="67C38ED1" w14:textId="77777777" w:rsidR="00AB4E04" w:rsidRDefault="00AB4E04" w:rsidP="00497B4B">
      <w:pPr>
        <w:pStyle w:val="Source"/>
        <w:rPr>
          <w:color w:val="25282A" w:themeColor="text2"/>
          <w:szCs w:val="20"/>
          <w:highlight w:val="yellow"/>
        </w:rPr>
      </w:pPr>
      <w:r>
        <w:rPr>
          <w:highlight w:val="yellow"/>
        </w:rPr>
        <w:br w:type="page"/>
      </w:r>
    </w:p>
    <w:p w14:paraId="5E839146" w14:textId="77777777" w:rsidR="003C7278" w:rsidRPr="00387F36" w:rsidRDefault="003C7278" w:rsidP="008A59B9">
      <w:pPr>
        <w:pStyle w:val="Heading3"/>
      </w:pPr>
      <w:bookmarkStart w:id="61" w:name="_Toc47537037"/>
      <w:bookmarkStart w:id="62" w:name="_Toc47945421"/>
      <w:bookmarkStart w:id="63" w:name="_Toc47946299"/>
      <w:bookmarkStart w:id="64" w:name="_Toc70878589"/>
      <w:bookmarkStart w:id="65" w:name="_Toc72198305"/>
      <w:bookmarkEnd w:id="61"/>
      <w:bookmarkEnd w:id="62"/>
      <w:bookmarkEnd w:id="63"/>
      <w:r w:rsidRPr="00387F36">
        <w:lastRenderedPageBreak/>
        <w:t>Improved compression efficiency</w:t>
      </w:r>
      <w:bookmarkEnd w:id="64"/>
      <w:bookmarkEnd w:id="65"/>
    </w:p>
    <w:p w14:paraId="78691679" w14:textId="74FF16F7" w:rsidR="003C7278" w:rsidRDefault="001D3B9E" w:rsidP="002D2E07">
      <w:pPr>
        <w:pStyle w:val="BodyText"/>
      </w:pPr>
      <w:r>
        <w:t>T</w:t>
      </w:r>
      <w:r w:rsidR="003C7278">
        <w:t xml:space="preserve">o support </w:t>
      </w:r>
      <w:r>
        <w:t xml:space="preserve">the </w:t>
      </w:r>
      <w:r w:rsidR="003C7278">
        <w:t>operational efficiency of th</w:t>
      </w:r>
      <w:r>
        <w:t>e</w:t>
      </w:r>
      <w:r w:rsidR="003C7278">
        <w:t xml:space="preserve"> new </w:t>
      </w:r>
      <w:r w:rsidR="00A050CF">
        <w:t>high pressure</w:t>
      </w:r>
      <w:r w:rsidR="003C7278">
        <w:t xml:space="preserve"> pipeline once it is connected to the VTS</w:t>
      </w:r>
      <w:r>
        <w:t>, upgrades to the Wollert C</w:t>
      </w:r>
      <w:r w:rsidRPr="001D3B9E">
        <w:t xml:space="preserve">ompressor </w:t>
      </w:r>
      <w:r>
        <w:t>S</w:t>
      </w:r>
      <w:r w:rsidRPr="001D3B9E">
        <w:t>tation are also proposed as part of the Project</w:t>
      </w:r>
      <w:r w:rsidR="003C7278">
        <w:t>.</w:t>
      </w:r>
    </w:p>
    <w:p w14:paraId="6CC1173A" w14:textId="7920EF6C" w:rsidR="00DD44A7" w:rsidRDefault="003C7278" w:rsidP="002D2E07">
      <w:pPr>
        <w:pStyle w:val="BodyText"/>
      </w:pPr>
      <w:r>
        <w:t xml:space="preserve">The additional compressor and a regulating station proposed at Wollert would allow for increased volumes of gas </w:t>
      </w:r>
      <w:r w:rsidR="00F11C48">
        <w:t>(approximate</w:t>
      </w:r>
      <w:r w:rsidR="00160911">
        <w:t>ly</w:t>
      </w:r>
      <w:r w:rsidR="00F11C48">
        <w:t xml:space="preserve"> an additional 100 </w:t>
      </w:r>
      <w:proofErr w:type="spellStart"/>
      <w:r w:rsidR="00F11C48">
        <w:t>Tj</w:t>
      </w:r>
      <w:proofErr w:type="spellEnd"/>
      <w:r w:rsidR="00F11C48">
        <w:t xml:space="preserve"> per day) </w:t>
      </w:r>
      <w:r>
        <w:t xml:space="preserve">to be compressed and transferred to the Iona UGS via WORM and then SWP. </w:t>
      </w:r>
    </w:p>
    <w:p w14:paraId="72901D4F" w14:textId="0FB12A16" w:rsidR="003C7278" w:rsidRDefault="003C7278" w:rsidP="002D2E07">
      <w:pPr>
        <w:pStyle w:val="BodyText"/>
      </w:pPr>
      <w:r>
        <w:t xml:space="preserve">This upgrade would require significantly less compression to achieve gas transfer to Iona UGS, </w:t>
      </w:r>
      <w:r w:rsidR="001D3B9E">
        <w:t xml:space="preserve">compared with </w:t>
      </w:r>
      <w:r>
        <w:t>the current network arrangement</w:t>
      </w:r>
      <w:r w:rsidR="001D3B9E">
        <w:t>,</w:t>
      </w:r>
      <w:r>
        <w:t xml:space="preserve"> which depends on two or more compressor stations at Brooklyn. </w:t>
      </w:r>
      <w:r w:rsidR="00F61FCE">
        <w:t xml:space="preserve">This </w:t>
      </w:r>
      <w:r w:rsidR="00DD44A7">
        <w:t>efficiency</w:t>
      </w:r>
      <w:r w:rsidR="00F61FCE">
        <w:t xml:space="preserve"> </w:t>
      </w:r>
      <w:r w:rsidR="00FF5EA7">
        <w:t xml:space="preserve">significantly </w:t>
      </w:r>
      <w:r w:rsidR="00F61FCE">
        <w:t>reduce</w:t>
      </w:r>
      <w:r w:rsidR="00DD44A7">
        <w:t>s</w:t>
      </w:r>
      <w:r w:rsidR="00F61FCE">
        <w:t xml:space="preserve"> </w:t>
      </w:r>
      <w:r w:rsidR="00DD44A7">
        <w:t>power consumption</w:t>
      </w:r>
      <w:r w:rsidR="00BB4160">
        <w:t>,</w:t>
      </w:r>
      <w:r w:rsidR="00DD44A7">
        <w:t xml:space="preserve"> </w:t>
      </w:r>
      <w:r w:rsidR="00BB4160">
        <w:t xml:space="preserve">as well as </w:t>
      </w:r>
      <w:r w:rsidR="00F61FCE">
        <w:t>compressor maintenance costs</w:t>
      </w:r>
      <w:r w:rsidR="00900FDF">
        <w:rPr>
          <w:rStyle w:val="FootnoteReference"/>
        </w:rPr>
        <w:footnoteReference w:id="25"/>
      </w:r>
      <w:r w:rsidR="00F61FCE">
        <w:t>.</w:t>
      </w:r>
      <w:r w:rsidR="00BB4160">
        <w:t xml:space="preserve"> </w:t>
      </w:r>
      <w:r w:rsidR="0095631F">
        <w:t>The saving in fuel gas use</w:t>
      </w:r>
      <w:r w:rsidR="00342B0F">
        <w:t>d</w:t>
      </w:r>
      <w:r w:rsidR="0095631F">
        <w:t xml:space="preserve"> in compressors equates to a saving in </w:t>
      </w:r>
      <w:r w:rsidR="007A51F4">
        <w:t xml:space="preserve">greenhouse gas emissions from the network </w:t>
      </w:r>
      <w:r w:rsidR="00342B0F">
        <w:t xml:space="preserve">of </w:t>
      </w:r>
      <w:r w:rsidR="007A51F4">
        <w:t xml:space="preserve">approximately </w:t>
      </w:r>
      <w:r w:rsidR="009A42D2">
        <w:t>10</w:t>
      </w:r>
      <w:r w:rsidR="007A51F4">
        <w:t>,</w:t>
      </w:r>
      <w:r w:rsidR="009A42D2">
        <w:t>7</w:t>
      </w:r>
      <w:r w:rsidR="007A51F4">
        <w:t>00 tCO</w:t>
      </w:r>
      <w:r w:rsidR="007A51F4" w:rsidRPr="00316165">
        <w:rPr>
          <w:rStyle w:val="Subscript"/>
        </w:rPr>
        <w:t>2</w:t>
      </w:r>
      <w:r w:rsidR="007A51F4" w:rsidRPr="00382441">
        <w:t>-e</w:t>
      </w:r>
      <w:r w:rsidR="007A51F4">
        <w:t xml:space="preserve"> </w:t>
      </w:r>
      <w:bookmarkStart w:id="66" w:name="_Ref47944777"/>
      <w:r w:rsidR="00342B0F">
        <w:t>a year</w:t>
      </w:r>
      <w:r w:rsidR="0095631F">
        <w:rPr>
          <w:rStyle w:val="FootnoteReference"/>
        </w:rPr>
        <w:footnoteReference w:id="26"/>
      </w:r>
      <w:bookmarkEnd w:id="66"/>
      <w:r w:rsidR="0095631F">
        <w:t>.</w:t>
      </w:r>
    </w:p>
    <w:p w14:paraId="1DE23A2B" w14:textId="7E3BA657" w:rsidR="003C7278" w:rsidRPr="00387F36" w:rsidRDefault="008E3D9D" w:rsidP="008A59B9">
      <w:pPr>
        <w:pStyle w:val="Heading3"/>
      </w:pPr>
      <w:bookmarkStart w:id="67" w:name="_Toc47537039"/>
      <w:bookmarkStart w:id="68" w:name="_Toc47945423"/>
      <w:bookmarkStart w:id="69" w:name="_Toc47946301"/>
      <w:bookmarkStart w:id="70" w:name="_Toc70878590"/>
      <w:bookmarkStart w:id="71" w:name="_Toc72198306"/>
      <w:bookmarkEnd w:id="67"/>
      <w:bookmarkEnd w:id="68"/>
      <w:bookmarkEnd w:id="69"/>
      <w:r w:rsidRPr="00387F36">
        <w:t xml:space="preserve">The Project's </w:t>
      </w:r>
      <w:r w:rsidR="003C7278" w:rsidRPr="00387F36">
        <w:t>relationship to supply and demand</w:t>
      </w:r>
      <w:bookmarkEnd w:id="70"/>
      <w:bookmarkEnd w:id="71"/>
    </w:p>
    <w:p w14:paraId="0ADE4676" w14:textId="7FB5C51A" w:rsidR="003C7278" w:rsidRDefault="00193939" w:rsidP="002D2E07">
      <w:pPr>
        <w:pStyle w:val="BodyText"/>
      </w:pPr>
      <w:r>
        <w:t>While</w:t>
      </w:r>
      <w:r w:rsidR="003C7278">
        <w:t xml:space="preserve"> the Project responds directly to a forecast tightening of the </w:t>
      </w:r>
      <w:r w:rsidR="00013050">
        <w:t>supply–demand</w:t>
      </w:r>
      <w:r w:rsidR="003C7278">
        <w:t xml:space="preserve"> balance of gas in Victoria, </w:t>
      </w:r>
      <w:r w:rsidR="008E3D9D">
        <w:t xml:space="preserve">its wider </w:t>
      </w:r>
      <w:r w:rsidR="003C7278">
        <w:t>purpose is to play a facilitative role in improving gas security by enhancing the operational efficiency of the existing gas transmission network</w:t>
      </w:r>
      <w:r w:rsidR="00EC7705">
        <w:t xml:space="preserve"> which is a current supply constraint</w:t>
      </w:r>
      <w:r w:rsidR="003C7278">
        <w:t>.</w:t>
      </w:r>
      <w:r w:rsidR="00EC7705">
        <w:t xml:space="preserve"> </w:t>
      </w:r>
    </w:p>
    <w:p w14:paraId="0C41D13F" w14:textId="54E6474F" w:rsidR="003C7278" w:rsidRDefault="003C7278" w:rsidP="002D2E07">
      <w:pPr>
        <w:pStyle w:val="BodyText"/>
      </w:pPr>
      <w:r>
        <w:t xml:space="preserve">The </w:t>
      </w:r>
      <w:r w:rsidR="008E3D9D">
        <w:t xml:space="preserve">Project </w:t>
      </w:r>
      <w:r>
        <w:t xml:space="preserve">would </w:t>
      </w:r>
      <w:r w:rsidR="00FF5EA7">
        <w:t xml:space="preserve">improve the transfer of gas </w:t>
      </w:r>
      <w:r>
        <w:t>volume</w:t>
      </w:r>
      <w:r w:rsidR="00FF5EA7">
        <w:t>s</w:t>
      </w:r>
      <w:r>
        <w:t xml:space="preserve"> circulat</w:t>
      </w:r>
      <w:r w:rsidR="00FF5EA7">
        <w:t>ed</w:t>
      </w:r>
      <w:r>
        <w:t xml:space="preserve"> around the state, increasing the efficiency </w:t>
      </w:r>
      <w:r w:rsidR="008E3D9D">
        <w:t xml:space="preserve">with </w:t>
      </w:r>
      <w:r>
        <w:t>which gas can be transported to destinations including the Iona UGS, Victorian customers and export facilities when it is required.</w:t>
      </w:r>
    </w:p>
    <w:p w14:paraId="54051016" w14:textId="3EFACC10" w:rsidR="003C7278" w:rsidRPr="000A3127" w:rsidRDefault="003C7278" w:rsidP="002D2E07">
      <w:pPr>
        <w:pStyle w:val="BodyText"/>
      </w:pPr>
      <w:r>
        <w:t xml:space="preserve">The infrastructure upgrades proposed as part of the </w:t>
      </w:r>
      <w:r w:rsidR="008E3D9D">
        <w:t xml:space="preserve">Project </w:t>
      </w:r>
      <w:r>
        <w:t>would not increase gas generation rates in Victoria</w:t>
      </w:r>
      <w:r w:rsidR="008E3D9D">
        <w:t>;</w:t>
      </w:r>
      <w:r>
        <w:t xml:space="preserve"> this </w:t>
      </w:r>
      <w:r w:rsidR="008E3D9D">
        <w:t xml:space="preserve">would </w:t>
      </w:r>
      <w:r>
        <w:t xml:space="preserve">be the function of </w:t>
      </w:r>
      <w:r w:rsidR="008E3D9D" w:rsidRPr="008E3D9D">
        <w:t xml:space="preserve">planned </w:t>
      </w:r>
      <w:r>
        <w:t xml:space="preserve">future gas supply projects. Similarly, the </w:t>
      </w:r>
      <w:r w:rsidR="008E3D9D">
        <w:t xml:space="preserve">Project </w:t>
      </w:r>
      <w:r>
        <w:t>is not expected to influence gas demand in Victoria. Rather</w:t>
      </w:r>
      <w:r w:rsidR="008E3D9D">
        <w:t>,</w:t>
      </w:r>
      <w:r>
        <w:t xml:space="preserve"> the Project would enhance the network’s ability to meet existing and forecast demand requirements</w:t>
      </w:r>
      <w:r w:rsidR="008E3D9D">
        <w:t>,</w:t>
      </w:r>
      <w:r>
        <w:t xml:space="preserve"> both within Victoria and </w:t>
      </w:r>
      <w:r w:rsidR="008E3D9D">
        <w:t xml:space="preserve">across </w:t>
      </w:r>
      <w:r>
        <w:t>south-east Australia more broadly</w:t>
      </w:r>
      <w:r w:rsidR="008E3D9D">
        <w:t>,</w:t>
      </w:r>
      <w:r w:rsidR="005709F4">
        <w:t xml:space="preserve"> </w:t>
      </w:r>
      <w:r w:rsidR="008E3D9D">
        <w:t xml:space="preserve">by </w:t>
      </w:r>
      <w:r w:rsidR="005709F4">
        <w:t>improv</w:t>
      </w:r>
      <w:r w:rsidR="008E3D9D">
        <w:t>ing the</w:t>
      </w:r>
      <w:r w:rsidR="005709F4">
        <w:t xml:space="preserve"> efficiency of transmission of </w:t>
      </w:r>
      <w:r w:rsidR="008E3D9D">
        <w:t xml:space="preserve">the </w:t>
      </w:r>
      <w:r w:rsidR="005709F4">
        <w:t>existing gas supply</w:t>
      </w:r>
      <w:r>
        <w:t xml:space="preserve">. </w:t>
      </w:r>
    </w:p>
    <w:p w14:paraId="614710A7" w14:textId="367357AE" w:rsidR="003C7278" w:rsidRPr="00387F36" w:rsidRDefault="003C7278" w:rsidP="008A59B9">
      <w:pPr>
        <w:pStyle w:val="Heading2"/>
        <w:pageBreakBefore/>
      </w:pPr>
      <w:bookmarkStart w:id="72" w:name="_Ref47628144"/>
      <w:bookmarkStart w:id="73" w:name="_Toc70878591"/>
      <w:bookmarkStart w:id="74" w:name="_Toc72198307"/>
      <w:r w:rsidRPr="00387F36">
        <w:lastRenderedPageBreak/>
        <w:t xml:space="preserve">Overview of </w:t>
      </w:r>
      <w:r w:rsidR="008E3D9D" w:rsidRPr="00387F36">
        <w:t>P</w:t>
      </w:r>
      <w:r w:rsidRPr="00387F36">
        <w:t>roject benefits</w:t>
      </w:r>
      <w:bookmarkEnd w:id="72"/>
      <w:bookmarkEnd w:id="73"/>
      <w:bookmarkEnd w:id="74"/>
    </w:p>
    <w:p w14:paraId="7E56CFC0" w14:textId="0743609C" w:rsidR="003C7278" w:rsidRPr="003C7278" w:rsidRDefault="003C7278" w:rsidP="002D2E07">
      <w:pPr>
        <w:pStyle w:val="BodyText"/>
      </w:pPr>
      <w:r w:rsidRPr="003C7278">
        <w:t>The Project would provide critical infrastructure for Victoria’s gas supply, transmission and consequent security, efficiency and affordability. Key benefits</w:t>
      </w:r>
      <w:r w:rsidR="008E3D9D">
        <w:t xml:space="preserve"> would</w:t>
      </w:r>
      <w:r w:rsidRPr="003C7278">
        <w:t xml:space="preserve"> include:</w:t>
      </w:r>
    </w:p>
    <w:p w14:paraId="636CE6F8" w14:textId="3EDDEE4E" w:rsidR="003C7278" w:rsidRPr="003C7278" w:rsidRDefault="003C7278" w:rsidP="002D2E07">
      <w:pPr>
        <w:pStyle w:val="BodyBullet1"/>
      </w:pPr>
      <w:r>
        <w:t xml:space="preserve">Improving Victoria’s gas network capacity and </w:t>
      </w:r>
      <w:r w:rsidRPr="003C7278">
        <w:t>performance</w:t>
      </w:r>
      <w:r w:rsidR="008E3D9D">
        <w:t>,</w:t>
      </w:r>
      <w:r w:rsidRPr="003C7278">
        <w:t xml:space="preserve"> allowing for greater volumes of gas to be efficiently transferred and stored</w:t>
      </w:r>
      <w:r w:rsidR="00322966">
        <w:t xml:space="preserve">. </w:t>
      </w:r>
      <w:r w:rsidR="00AD46C9">
        <w:t>This would:</w:t>
      </w:r>
    </w:p>
    <w:p w14:paraId="63E5996C" w14:textId="5C3F093D" w:rsidR="003C7278" w:rsidRDefault="00AD46C9" w:rsidP="00490F7E">
      <w:pPr>
        <w:pStyle w:val="BodyBullet2"/>
      </w:pPr>
      <w:r>
        <w:t xml:space="preserve">Increase </w:t>
      </w:r>
      <w:r w:rsidR="003C7278" w:rsidRPr="003C7278">
        <w:t>energy security and resilience during peak demand periods</w:t>
      </w:r>
      <w:r w:rsidR="00322966">
        <w:t xml:space="preserve"> </w:t>
      </w:r>
      <w:r w:rsidR="008E3D9D">
        <w:t>by</w:t>
      </w:r>
    </w:p>
    <w:p w14:paraId="2C320980" w14:textId="2A1D0468" w:rsidR="00E775C0" w:rsidRDefault="00E775C0" w:rsidP="00490F7E">
      <w:pPr>
        <w:pStyle w:val="BodyBullet3"/>
      </w:pPr>
      <w:r>
        <w:t>Ensuring suffic</w:t>
      </w:r>
      <w:r w:rsidRPr="00E775C0">
        <w:t>ient gas supply can be stored at the Iona UGS to address anticipated gas supply shortages in Victoria during times of peak demand</w:t>
      </w:r>
    </w:p>
    <w:p w14:paraId="182DD857" w14:textId="63824CF0" w:rsidR="00322966" w:rsidRDefault="00774D83" w:rsidP="00490F7E">
      <w:pPr>
        <w:pStyle w:val="BodyBullet3"/>
      </w:pPr>
      <w:r>
        <w:t xml:space="preserve">Reducing </w:t>
      </w:r>
      <w:r w:rsidR="00322966">
        <w:t>the</w:t>
      </w:r>
      <w:r w:rsidR="00322966" w:rsidRPr="003C7278">
        <w:t xml:space="preserve"> chance of unplanned outages or ‘plant trips’ at major gas processing plants in Longford or Port Campbell</w:t>
      </w:r>
      <w:r w:rsidR="008E3D9D">
        <w:t xml:space="preserve">, by </w:t>
      </w:r>
      <w:r w:rsidR="00322966" w:rsidRPr="003C7278">
        <w:t>better balancing of gas pressure across the western, northern and eastern parts of the network</w:t>
      </w:r>
      <w:r w:rsidR="00322966" w:rsidRPr="003C7278">
        <w:rPr>
          <w:rStyle w:val="FootnoteReference"/>
        </w:rPr>
        <w:footnoteReference w:id="27"/>
      </w:r>
    </w:p>
    <w:p w14:paraId="135FCF9E" w14:textId="4E375977" w:rsidR="00AD46C9" w:rsidRDefault="00AD46C9" w:rsidP="00490F7E">
      <w:pPr>
        <w:pStyle w:val="BodyBullet3"/>
      </w:pPr>
      <w:r>
        <w:t>Providing assurance that surplus gas supply under gas contracts can be physically injected into the VTS, enabling gas contracts to be maintained</w:t>
      </w:r>
    </w:p>
    <w:p w14:paraId="4CA36361" w14:textId="252502A1" w:rsidR="00AD46C9" w:rsidRDefault="00AD46C9" w:rsidP="00490F7E">
      <w:pPr>
        <w:pStyle w:val="BodyBullet2"/>
      </w:pPr>
      <w:r>
        <w:t>Increase capacity within the VTS</w:t>
      </w:r>
      <w:r w:rsidR="008E3D9D">
        <w:t>,</w:t>
      </w:r>
      <w:r>
        <w:t xml:space="preserve"> which </w:t>
      </w:r>
      <w:r w:rsidRPr="003C7278">
        <w:t>would support future growth in Victoria in terms of gas supply, consumption, power generation and export volumes</w:t>
      </w:r>
    </w:p>
    <w:p w14:paraId="7E36FFDF" w14:textId="454D13C8" w:rsidR="00322966" w:rsidRDefault="003C7278" w:rsidP="002D2E07">
      <w:pPr>
        <w:pStyle w:val="BodyBullet1"/>
      </w:pPr>
      <w:r>
        <w:t>Gaining</w:t>
      </w:r>
      <w:r w:rsidRPr="003C7278">
        <w:t xml:space="preserve"> efficiencies in the operation and management of the VTS</w:t>
      </w:r>
      <w:r w:rsidR="00322966">
        <w:t xml:space="preserve"> </w:t>
      </w:r>
      <w:r w:rsidR="008E3D9D">
        <w:t>by</w:t>
      </w:r>
    </w:p>
    <w:p w14:paraId="61A3F197" w14:textId="4BBDA4D9" w:rsidR="003C7278" w:rsidRDefault="00EA61A8" w:rsidP="00121482">
      <w:pPr>
        <w:pStyle w:val="BodyBullet2"/>
      </w:pPr>
      <w:r>
        <w:t>A</w:t>
      </w:r>
      <w:r w:rsidR="003C7278" w:rsidRPr="003C7278">
        <w:t>llowing gas to flow</w:t>
      </w:r>
      <w:r w:rsidR="008E3D9D" w:rsidRPr="008E3D9D">
        <w:t xml:space="preserve"> interchangeably</w:t>
      </w:r>
      <w:r w:rsidR="003C7278" w:rsidRPr="008E3D9D">
        <w:t xml:space="preserve"> </w:t>
      </w:r>
      <w:r w:rsidR="003C7278" w:rsidRPr="003C7278">
        <w:t>from the east</w:t>
      </w:r>
      <w:r w:rsidR="008E3D9D">
        <w:t>ern</w:t>
      </w:r>
      <w:r w:rsidR="003C7278" w:rsidRPr="003C7278">
        <w:t xml:space="preserve"> and west</w:t>
      </w:r>
      <w:r w:rsidR="008E3D9D">
        <w:t>ern</w:t>
      </w:r>
      <w:r w:rsidR="003C7278" w:rsidRPr="003C7278">
        <w:t xml:space="preserve"> parts of the gas network without </w:t>
      </w:r>
      <w:r w:rsidR="008E3D9D">
        <w:t xml:space="preserve">the need for </w:t>
      </w:r>
      <w:r w:rsidR="003C7278" w:rsidRPr="003C7278">
        <w:t>direct operator intervention</w:t>
      </w:r>
      <w:r w:rsidR="008E3D9D">
        <w:t>, which is</w:t>
      </w:r>
      <w:r w:rsidR="003C7278" w:rsidRPr="003C7278">
        <w:t xml:space="preserve"> currently required at gas pressure transition points with the </w:t>
      </w:r>
      <w:r w:rsidR="00A050CF">
        <w:t>low pressure</w:t>
      </w:r>
      <w:r w:rsidR="003C7278" w:rsidRPr="003C7278">
        <w:t xml:space="preserve"> network</w:t>
      </w:r>
    </w:p>
    <w:p w14:paraId="5098B34C" w14:textId="7B4603F5" w:rsidR="00AD46C9" w:rsidRDefault="00322966" w:rsidP="00121482">
      <w:pPr>
        <w:pStyle w:val="BodyBullet2"/>
      </w:pPr>
      <w:r w:rsidRPr="00490F7E">
        <w:rPr>
          <w:rStyle w:val="Highlight"/>
          <w:shd w:val="clear" w:color="auto" w:fill="auto"/>
        </w:rPr>
        <w:t>Improving</w:t>
      </w:r>
      <w:r w:rsidRPr="00E93E36">
        <w:t xml:space="preserve"> </w:t>
      </w:r>
      <w:r w:rsidRPr="00CA08FE">
        <w:t>operational</w:t>
      </w:r>
      <w:r>
        <w:t xml:space="preserve"> </w:t>
      </w:r>
      <w:r w:rsidRPr="003C7278">
        <w:t xml:space="preserve">efficiency </w:t>
      </w:r>
      <w:r>
        <w:t>in the network by adding an additional</w:t>
      </w:r>
      <w:r w:rsidRPr="003C7278">
        <w:t xml:space="preserve"> compressor unit at Wollert to increase capacity into the Iona UGS</w:t>
      </w:r>
      <w:r w:rsidR="008E3D9D">
        <w:t xml:space="preserve">. This would require </w:t>
      </w:r>
      <w:r w:rsidRPr="003C7278">
        <w:t xml:space="preserve">significantly less compression </w:t>
      </w:r>
      <w:r w:rsidR="008E3D9D">
        <w:t xml:space="preserve">than </w:t>
      </w:r>
      <w:r w:rsidRPr="003C7278">
        <w:t>the current arrangement</w:t>
      </w:r>
      <w:r w:rsidR="00E762DA">
        <w:t xml:space="preserve"> and </w:t>
      </w:r>
      <w:r w:rsidR="008E3D9D">
        <w:t xml:space="preserve">would </w:t>
      </w:r>
      <w:r>
        <w:t>sav</w:t>
      </w:r>
      <w:r w:rsidR="008E3D9D">
        <w:t>e</w:t>
      </w:r>
      <w:r>
        <w:t xml:space="preserve"> at least $3 million </w:t>
      </w:r>
      <w:r w:rsidR="008E3D9D">
        <w:t xml:space="preserve">a </w:t>
      </w:r>
      <w:r>
        <w:t xml:space="preserve">year in fuel gas costs </w:t>
      </w:r>
      <w:r w:rsidR="00EA61A8">
        <w:t xml:space="preserve">while also </w:t>
      </w:r>
      <w:r>
        <w:t>reduc</w:t>
      </w:r>
      <w:r w:rsidR="00EA61A8">
        <w:t>ing</w:t>
      </w:r>
      <w:r>
        <w:t xml:space="preserve"> compressor maintenance costs</w:t>
      </w:r>
      <w:r>
        <w:rPr>
          <w:rStyle w:val="FootnoteReference"/>
        </w:rPr>
        <w:footnoteReference w:id="28"/>
      </w:r>
    </w:p>
    <w:p w14:paraId="73575973" w14:textId="7BCC013B" w:rsidR="00322966" w:rsidRPr="003C7278" w:rsidRDefault="00322966" w:rsidP="00121482">
      <w:pPr>
        <w:pStyle w:val="BodyBullet2"/>
      </w:pPr>
      <w:r>
        <w:t xml:space="preserve">Reducing greenhouse gas emissions from the network by approximately </w:t>
      </w:r>
      <w:r w:rsidR="009A42D2">
        <w:t>10</w:t>
      </w:r>
      <w:r>
        <w:t>,</w:t>
      </w:r>
      <w:r w:rsidR="009A42D2">
        <w:t>7</w:t>
      </w:r>
      <w:r>
        <w:t>00 tCO</w:t>
      </w:r>
      <w:r w:rsidRPr="00316165">
        <w:rPr>
          <w:rStyle w:val="Subscript"/>
        </w:rPr>
        <w:t>2</w:t>
      </w:r>
      <w:r w:rsidRPr="00382441">
        <w:t>-e</w:t>
      </w:r>
      <w:r>
        <w:t xml:space="preserve"> </w:t>
      </w:r>
      <w:r w:rsidR="00EA61A8">
        <w:t>a year</w:t>
      </w:r>
      <w:r>
        <w:rPr>
          <w:rStyle w:val="FootnoteReference"/>
        </w:rPr>
        <w:footnoteReference w:id="29"/>
      </w:r>
      <w:r>
        <w:t xml:space="preserve"> as a result of operational efficiencies and reduced fuel requirements </w:t>
      </w:r>
      <w:r w:rsidR="00EA61A8">
        <w:t xml:space="preserve">that </w:t>
      </w:r>
      <w:r>
        <w:t xml:space="preserve">would be achieved </w:t>
      </w:r>
      <w:r w:rsidR="00EA61A8">
        <w:t xml:space="preserve">with </w:t>
      </w:r>
      <w:r>
        <w:t xml:space="preserve">the </w:t>
      </w:r>
      <w:r w:rsidR="00EA61A8">
        <w:t>P</w:t>
      </w:r>
      <w:r>
        <w:t>roject.</w:t>
      </w:r>
    </w:p>
    <w:p w14:paraId="6E543A6B" w14:textId="62091BD3" w:rsidR="003C7278" w:rsidRPr="003C7278" w:rsidRDefault="003C7278" w:rsidP="002D2E07">
      <w:pPr>
        <w:pStyle w:val="BodyText"/>
      </w:pPr>
      <w:r w:rsidRPr="003C7278">
        <w:t xml:space="preserve">The project is expected to involve a capital investment </w:t>
      </w:r>
      <w:r w:rsidR="00900FDF">
        <w:t>estimated at</w:t>
      </w:r>
      <w:r w:rsidR="00900FDF" w:rsidRPr="003C7278">
        <w:t xml:space="preserve"> </w:t>
      </w:r>
      <w:r w:rsidRPr="003C7278">
        <w:t>$</w:t>
      </w:r>
      <w:r w:rsidR="007A51F4">
        <w:t>1</w:t>
      </w:r>
      <w:r w:rsidR="00900FDF">
        <w:t>67.3</w:t>
      </w:r>
      <w:r w:rsidRPr="003C7278">
        <w:t xml:space="preserve"> million (excluding GST), with </w:t>
      </w:r>
      <w:r w:rsidR="00EA61A8">
        <w:t>the</w:t>
      </w:r>
      <w:r w:rsidR="00EA61A8" w:rsidRPr="003C7278">
        <w:t xml:space="preserve"> </w:t>
      </w:r>
      <w:r w:rsidRPr="003C7278">
        <w:t xml:space="preserve">annual operating cost of the </w:t>
      </w:r>
      <w:r w:rsidR="00EA61A8">
        <w:t>Project</w:t>
      </w:r>
      <w:r w:rsidR="00EA61A8" w:rsidRPr="003C7278">
        <w:t xml:space="preserve"> </w:t>
      </w:r>
      <w:r w:rsidRPr="003C7278">
        <w:t>and</w:t>
      </w:r>
      <w:r w:rsidR="00EA61A8">
        <w:t xml:space="preserve"> the</w:t>
      </w:r>
      <w:r w:rsidRPr="003C7278">
        <w:t xml:space="preserve"> additional Wollert compressor estimated at</w:t>
      </w:r>
      <w:r w:rsidR="00497B4B">
        <w:t> </w:t>
      </w:r>
      <w:r w:rsidRPr="003C7278">
        <w:t>$</w:t>
      </w:r>
      <w:r w:rsidR="00900FDF">
        <w:t>600</w:t>
      </w:r>
      <w:r w:rsidRPr="003C7278">
        <w:t>,000.</w:t>
      </w:r>
    </w:p>
    <w:p w14:paraId="5958747A" w14:textId="6FAAD35F" w:rsidR="003C7278" w:rsidRPr="003C7278" w:rsidRDefault="003C7278" w:rsidP="002D2E07">
      <w:pPr>
        <w:pStyle w:val="BodyText"/>
      </w:pPr>
      <w:r w:rsidRPr="003C7278">
        <w:t xml:space="preserve">The </w:t>
      </w:r>
      <w:r w:rsidR="00EA61A8">
        <w:t>P</w:t>
      </w:r>
      <w:r w:rsidRPr="003C7278">
        <w:t xml:space="preserve">roject is expected to generate </w:t>
      </w:r>
      <w:r w:rsidRPr="00E93E36">
        <w:t xml:space="preserve">up to </w:t>
      </w:r>
      <w:r w:rsidR="00AB6268" w:rsidRPr="00E93E36">
        <w:t>500</w:t>
      </w:r>
      <w:r w:rsidRPr="00E93E36">
        <w:t xml:space="preserve"> jobs </w:t>
      </w:r>
      <w:r w:rsidRPr="003C7278">
        <w:t xml:space="preserve">during the </w:t>
      </w:r>
      <w:r w:rsidR="00AB6268">
        <w:t>design, procurement, approvals and construction phases</w:t>
      </w:r>
      <w:r w:rsidRPr="003C7278">
        <w:t xml:space="preserve">. The majority of the construction workforce would be specialists sourced from Victoria and interstate. </w:t>
      </w:r>
      <w:r w:rsidR="00F71987">
        <w:t xml:space="preserve">A minimal incremental </w:t>
      </w:r>
      <w:r w:rsidR="00F71987" w:rsidRPr="00FE32ED">
        <w:t xml:space="preserve">increase in APA’s existing operational workforce </w:t>
      </w:r>
      <w:r w:rsidR="00F71987">
        <w:t>would be required for the operation phase.</w:t>
      </w:r>
      <w:bookmarkEnd w:id="1"/>
    </w:p>
    <w:sectPr w:rsidR="003C7278" w:rsidRPr="003C7278" w:rsidSect="004C4831">
      <w:footerReference w:type="default" r:id="rId26"/>
      <w:type w:val="oddPage"/>
      <w:pgSz w:w="11906" w:h="16838" w:code="9"/>
      <w:pgMar w:top="1418" w:right="1418" w:bottom="1418" w:left="1418" w:header="567" w:footer="567"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7C19E" w14:textId="77777777" w:rsidR="00A0098E" w:rsidRDefault="00A0098E" w:rsidP="00A02FC6">
      <w:r>
        <w:separator/>
      </w:r>
    </w:p>
  </w:endnote>
  <w:endnote w:type="continuationSeparator" w:id="0">
    <w:p w14:paraId="57CC580F" w14:textId="77777777" w:rsidR="00A0098E" w:rsidRDefault="00A0098E" w:rsidP="00A02FC6">
      <w:r>
        <w:continuationSeparator/>
      </w:r>
    </w:p>
  </w:endnote>
  <w:endnote w:type="continuationNotice" w:id="1">
    <w:p w14:paraId="2093A27D" w14:textId="77777777" w:rsidR="00A0098E" w:rsidRDefault="00A0098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9687C" w14:textId="537DF3C8" w:rsidR="000E73CC" w:rsidRPr="00A825FD" w:rsidRDefault="000E73CC" w:rsidP="00A81947">
    <w:pPr>
      <w:pStyle w:val="Footer"/>
    </w:pPr>
    <w:r>
      <w:rPr>
        <w:noProof w:val="0"/>
      </w:rPr>
      <w:fldChar w:fldCharType="begin"/>
    </w:r>
    <w:r>
      <w:instrText xml:space="preserve"> PAGE   \* MERGEFORMAT </w:instrText>
    </w:r>
    <w:r>
      <w:rPr>
        <w:noProof w:val="0"/>
      </w:rPr>
      <w:fldChar w:fldCharType="separate"/>
    </w:r>
    <w:r>
      <w:t>2-14</w:t>
    </w:r>
    <w:r>
      <w:fldChar w:fldCharType="end"/>
    </w:r>
    <w:r>
      <w:ptab w:relativeTo="margin" w:alignment="right" w:leader="none"/>
    </w:r>
    <w:r>
      <w:t xml:space="preserve">Chapter </w:t>
    </w:r>
    <w:r>
      <w:fldChar w:fldCharType="begin"/>
    </w:r>
    <w:r>
      <w:instrText xml:space="preserve"> IF</w:instrText>
    </w:r>
    <w:r>
      <w:fldChar w:fldCharType="begin"/>
    </w:r>
    <w:r>
      <w:instrText xml:space="preserve"> STYLEREF "Heading 1" </w:instrText>
    </w:r>
    <w:r w:rsidRPr="004F4EF2">
      <w:instrText xml:space="preserve">\n </w:instrText>
    </w:r>
    <w:r>
      <w:fldChar w:fldCharType="separate"/>
    </w:r>
    <w:r w:rsidR="00BE54D2">
      <w:instrText>2</w:instrText>
    </w:r>
    <w:r>
      <w:fldChar w:fldCharType="end"/>
    </w:r>
    <w:r>
      <w:instrText>&lt;&gt;"Error*""</w:instrText>
    </w:r>
    <w:r>
      <w:fldChar w:fldCharType="begin"/>
    </w:r>
    <w:r>
      <w:instrText xml:space="preserve"> STYLEREF "Heading 1" </w:instrText>
    </w:r>
    <w:r w:rsidRPr="004F4EF2">
      <w:instrText>\n</w:instrText>
    </w:r>
    <w:r>
      <w:fldChar w:fldCharType="separate"/>
    </w:r>
    <w:r w:rsidR="00BE54D2">
      <w:instrText>2</w:instrText>
    </w:r>
    <w:r>
      <w:fldChar w:fldCharType="end"/>
    </w:r>
    <w:r>
      <w:instrText>"</w:instrText>
    </w:r>
    <w:r>
      <w:fldChar w:fldCharType="separate"/>
    </w:r>
    <w:r w:rsidR="00BE54D2">
      <w:t>2</w:t>
    </w:r>
    <w:r>
      <w:fldChar w:fldCharType="end"/>
    </w:r>
    <w:r w:rsidRPr="004F4EF2">
      <w:rPr>
        <w:rStyle w:val="Footerbarspacer"/>
      </w:rPr>
      <w:t xml:space="preserve"> | </w:t>
    </w:r>
    <w:r>
      <w:fldChar w:fldCharType="begin"/>
    </w:r>
    <w:r>
      <w:instrText xml:space="preserve"> IF</w:instrText>
    </w:r>
    <w:r>
      <w:fldChar w:fldCharType="begin"/>
    </w:r>
    <w:r>
      <w:instrText xml:space="preserve"> STYLEREF "Heading 1" </w:instrText>
    </w:r>
    <w:r>
      <w:fldChar w:fldCharType="separate"/>
    </w:r>
    <w:r w:rsidR="00BE54D2">
      <w:instrText>Project rationale</w:instrText>
    </w:r>
    <w:r>
      <w:fldChar w:fldCharType="end"/>
    </w:r>
    <w:r>
      <w:instrText>&lt;&gt;"Error*""</w:instrText>
    </w:r>
    <w:r>
      <w:fldChar w:fldCharType="begin"/>
    </w:r>
    <w:r>
      <w:instrText xml:space="preserve"> STYLEREF "Heading 1" </w:instrText>
    </w:r>
    <w:r>
      <w:fldChar w:fldCharType="separate"/>
    </w:r>
    <w:r w:rsidR="00BE54D2">
      <w:instrText>Project rationale</w:instrText>
    </w:r>
    <w:r>
      <w:fldChar w:fldCharType="end"/>
    </w:r>
    <w:r>
      <w:instrText>"</w:instrText>
    </w:r>
    <w:r>
      <w:fldChar w:fldCharType="separate"/>
    </w:r>
    <w:r w:rsidR="00BE54D2">
      <w:t>Project rationale</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D5A54" w14:textId="0C829C08" w:rsidR="000E73CC" w:rsidRPr="00204A6F" w:rsidRDefault="000E73CC" w:rsidP="00204A6F">
    <w:pPr>
      <w:pStyle w:val="Footer"/>
    </w:pPr>
    <w:r>
      <w:t xml:space="preserve">Chapter </w:t>
    </w:r>
    <w:r>
      <w:fldChar w:fldCharType="begin"/>
    </w:r>
    <w:r>
      <w:instrText xml:space="preserve"> IF</w:instrText>
    </w:r>
    <w:r>
      <w:fldChar w:fldCharType="begin"/>
    </w:r>
    <w:r>
      <w:instrText xml:space="preserve"> STYLEREF "Heading 1" </w:instrText>
    </w:r>
    <w:r w:rsidRPr="004F4EF2">
      <w:instrText xml:space="preserve">\n </w:instrText>
    </w:r>
    <w:r>
      <w:fldChar w:fldCharType="separate"/>
    </w:r>
    <w:r w:rsidR="00BE54D2">
      <w:instrText>2</w:instrText>
    </w:r>
    <w:r>
      <w:fldChar w:fldCharType="end"/>
    </w:r>
    <w:r>
      <w:instrText>&lt;&gt;"Error*""</w:instrText>
    </w:r>
    <w:r>
      <w:fldChar w:fldCharType="begin"/>
    </w:r>
    <w:r>
      <w:instrText xml:space="preserve"> STYLEREF "Heading 1" </w:instrText>
    </w:r>
    <w:r w:rsidRPr="004F4EF2">
      <w:instrText>\n</w:instrText>
    </w:r>
    <w:r>
      <w:fldChar w:fldCharType="separate"/>
    </w:r>
    <w:r w:rsidR="00BE54D2">
      <w:instrText>2</w:instrText>
    </w:r>
    <w:r>
      <w:fldChar w:fldCharType="end"/>
    </w:r>
    <w:r>
      <w:instrText>"</w:instrText>
    </w:r>
    <w:r>
      <w:fldChar w:fldCharType="separate"/>
    </w:r>
    <w:r w:rsidR="00BE54D2">
      <w:t>2</w:t>
    </w:r>
    <w:r>
      <w:fldChar w:fldCharType="end"/>
    </w:r>
    <w:r w:rsidRPr="004F4EF2">
      <w:rPr>
        <w:rStyle w:val="Footerbarspacer"/>
      </w:rPr>
      <w:t xml:space="preserve"> | </w:t>
    </w:r>
    <w:r>
      <w:fldChar w:fldCharType="begin"/>
    </w:r>
    <w:r>
      <w:instrText xml:space="preserve"> IF</w:instrText>
    </w:r>
    <w:r>
      <w:fldChar w:fldCharType="begin"/>
    </w:r>
    <w:r>
      <w:instrText xml:space="preserve"> STYLEREF "Heading 1" </w:instrText>
    </w:r>
    <w:r>
      <w:fldChar w:fldCharType="separate"/>
    </w:r>
    <w:r w:rsidR="00BE54D2">
      <w:instrText>Project rationale</w:instrText>
    </w:r>
    <w:r>
      <w:fldChar w:fldCharType="end"/>
    </w:r>
    <w:r>
      <w:instrText>&lt;&gt;"Error*""</w:instrText>
    </w:r>
    <w:r>
      <w:fldChar w:fldCharType="begin"/>
    </w:r>
    <w:r>
      <w:instrText xml:space="preserve"> STYLEREF "Heading 1" </w:instrText>
    </w:r>
    <w:r>
      <w:fldChar w:fldCharType="separate"/>
    </w:r>
    <w:r w:rsidR="00BE54D2">
      <w:instrText>Project rationale</w:instrText>
    </w:r>
    <w:r>
      <w:fldChar w:fldCharType="end"/>
    </w:r>
    <w:r>
      <w:instrText>"</w:instrText>
    </w:r>
    <w:r>
      <w:fldChar w:fldCharType="separate"/>
    </w:r>
    <w:r w:rsidR="00BE54D2">
      <w:t>Project rationale</w:t>
    </w:r>
    <w:r>
      <w:fldChar w:fldCharType="end"/>
    </w:r>
    <w:r>
      <w:ptab w:relativeTo="margin" w:alignment="right" w:leader="none"/>
    </w:r>
    <w:r>
      <w:rPr>
        <w:noProof w:val="0"/>
      </w:rPr>
      <w:fldChar w:fldCharType="begin"/>
    </w:r>
    <w:r>
      <w:instrText xml:space="preserve"> PAGE   \* MERGEFORMAT </w:instrText>
    </w:r>
    <w:r>
      <w:rPr>
        <w:noProof w:val="0"/>
      </w:rPr>
      <w:fldChar w:fldCharType="separate"/>
    </w:r>
    <w:r>
      <w:t>2-13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49C89" w14:textId="2E1E9894" w:rsidR="000E73CC" w:rsidRPr="000D7CAF" w:rsidRDefault="000E73CC" w:rsidP="004F4EF2">
    <w:pPr>
      <w:pStyle w:val="Footer"/>
    </w:pPr>
    <w:r>
      <w:fldChar w:fldCharType="begin"/>
    </w:r>
    <w:r>
      <w:instrText xml:space="preserve"> IF</w:instrText>
    </w:r>
    <w:r>
      <w:fldChar w:fldCharType="begin"/>
    </w:r>
    <w:r>
      <w:instrText xml:space="preserve"> STYLEREF "Cover Subtitle" </w:instrText>
    </w:r>
    <w:r>
      <w:fldChar w:fldCharType="separate"/>
    </w:r>
    <w:r w:rsidR="00BE54D2">
      <w:rPr>
        <w:b/>
        <w:bCs/>
        <w:lang w:val="en-US"/>
      </w:rPr>
      <w:instrText>Error! No text of specified style in document.</w:instrText>
    </w:r>
    <w:r>
      <w:fldChar w:fldCharType="end"/>
    </w:r>
    <w:r>
      <w:instrText>&lt;&gt;"Error*""</w:instrText>
    </w:r>
    <w:r>
      <w:fldChar w:fldCharType="begin"/>
    </w:r>
    <w:r>
      <w:instrText xml:space="preserve"> STYLEREF "Cover Subtitle" </w:instrText>
    </w:r>
    <w:r>
      <w:fldChar w:fldCharType="separate"/>
    </w:r>
    <w:r>
      <w:instrText>Cover Subtitle</w:instrText>
    </w:r>
    <w:r>
      <w:fldChar w:fldCharType="end"/>
    </w:r>
    <w:r>
      <w:instrText>"</w:instrTex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BAE0C" w14:textId="28087E3F" w:rsidR="000E7A0C" w:rsidRPr="00204A6F" w:rsidRDefault="000E7A0C" w:rsidP="00204A6F">
    <w:pPr>
      <w:pStyle w:val="Footer"/>
    </w:pPr>
    <w:r>
      <w:t xml:space="preserve">Chapter </w:t>
    </w:r>
    <w:r>
      <w:fldChar w:fldCharType="begin"/>
    </w:r>
    <w:r>
      <w:instrText xml:space="preserve"> IF</w:instrText>
    </w:r>
    <w:r>
      <w:fldChar w:fldCharType="begin"/>
    </w:r>
    <w:r>
      <w:instrText xml:space="preserve"> STYLEREF "Heading 1" </w:instrText>
    </w:r>
    <w:r w:rsidRPr="004F4EF2">
      <w:instrText xml:space="preserve">\n </w:instrText>
    </w:r>
    <w:r>
      <w:fldChar w:fldCharType="separate"/>
    </w:r>
    <w:r w:rsidR="00BE54D2">
      <w:instrText>2</w:instrText>
    </w:r>
    <w:r>
      <w:fldChar w:fldCharType="end"/>
    </w:r>
    <w:r>
      <w:instrText>&lt;&gt;"Error*""</w:instrText>
    </w:r>
    <w:r>
      <w:fldChar w:fldCharType="begin"/>
    </w:r>
    <w:r>
      <w:instrText xml:space="preserve"> STYLEREF "Heading 1" </w:instrText>
    </w:r>
    <w:r w:rsidRPr="004F4EF2">
      <w:instrText>\n</w:instrText>
    </w:r>
    <w:r>
      <w:fldChar w:fldCharType="separate"/>
    </w:r>
    <w:r w:rsidR="00BE54D2">
      <w:instrText>2</w:instrText>
    </w:r>
    <w:r>
      <w:fldChar w:fldCharType="end"/>
    </w:r>
    <w:r>
      <w:instrText>"</w:instrText>
    </w:r>
    <w:r>
      <w:fldChar w:fldCharType="separate"/>
    </w:r>
    <w:r w:rsidR="00BE54D2">
      <w:t>2</w:t>
    </w:r>
    <w:r>
      <w:fldChar w:fldCharType="end"/>
    </w:r>
    <w:r w:rsidRPr="004F4EF2">
      <w:rPr>
        <w:rStyle w:val="Footerbarspacer"/>
      </w:rPr>
      <w:t xml:space="preserve"> | </w:t>
    </w:r>
    <w:r>
      <w:fldChar w:fldCharType="begin"/>
    </w:r>
    <w:r>
      <w:instrText xml:space="preserve"> IF</w:instrText>
    </w:r>
    <w:r>
      <w:fldChar w:fldCharType="begin"/>
    </w:r>
    <w:r>
      <w:instrText xml:space="preserve"> STYLEREF "Heading 1" </w:instrText>
    </w:r>
    <w:r>
      <w:fldChar w:fldCharType="separate"/>
    </w:r>
    <w:r w:rsidR="00BE54D2">
      <w:instrText>Project rationale</w:instrText>
    </w:r>
    <w:r>
      <w:fldChar w:fldCharType="end"/>
    </w:r>
    <w:r>
      <w:instrText>&lt;&gt;"Error*""</w:instrText>
    </w:r>
    <w:r>
      <w:fldChar w:fldCharType="begin"/>
    </w:r>
    <w:r>
      <w:instrText xml:space="preserve"> STYLEREF "Heading 1" </w:instrText>
    </w:r>
    <w:r>
      <w:fldChar w:fldCharType="separate"/>
    </w:r>
    <w:r w:rsidR="00BE54D2">
      <w:instrText>Project rationale</w:instrText>
    </w:r>
    <w:r>
      <w:fldChar w:fldCharType="end"/>
    </w:r>
    <w:r>
      <w:instrText>"</w:instrText>
    </w:r>
    <w:r>
      <w:fldChar w:fldCharType="separate"/>
    </w:r>
    <w:r w:rsidR="00BE54D2">
      <w:t>Project rationale</w:t>
    </w:r>
    <w:r>
      <w:fldChar w:fldCharType="end"/>
    </w:r>
    <w:r>
      <w:ptab w:relativeTo="margin" w:alignment="right" w:leader="none"/>
    </w:r>
    <w:r>
      <w:rPr>
        <w:noProof w:val="0"/>
      </w:rPr>
      <w:fldChar w:fldCharType="begin"/>
    </w:r>
    <w:r>
      <w:instrText xml:space="preserve"> PAGE   \* MERGEFORMAT </w:instrText>
    </w:r>
    <w:r>
      <w:rPr>
        <w:noProof w:val="0"/>
      </w:rPr>
      <w:fldChar w:fldCharType="separate"/>
    </w:r>
    <w:r>
      <w:t>2-13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97B8A" w14:textId="77777777" w:rsidR="00A0098E" w:rsidRDefault="00A0098E" w:rsidP="0036083B">
      <w:pPr>
        <w:spacing w:before="360"/>
      </w:pPr>
      <w:r>
        <w:separator/>
      </w:r>
    </w:p>
  </w:footnote>
  <w:footnote w:type="continuationSeparator" w:id="0">
    <w:p w14:paraId="37AC5660" w14:textId="77777777" w:rsidR="00A0098E" w:rsidRDefault="00A0098E" w:rsidP="0036083B">
      <w:pPr>
        <w:spacing w:before="360"/>
      </w:pPr>
      <w:r>
        <w:continuationSeparator/>
      </w:r>
    </w:p>
  </w:footnote>
  <w:footnote w:type="continuationNotice" w:id="1">
    <w:p w14:paraId="17AEF397" w14:textId="77777777" w:rsidR="00A0098E" w:rsidRDefault="00A0098E" w:rsidP="00A02FC6"/>
  </w:footnote>
  <w:footnote w:id="2">
    <w:p w14:paraId="636CABC7" w14:textId="6A1113C0" w:rsidR="000E73CC" w:rsidRDefault="000E73CC">
      <w:pPr>
        <w:pStyle w:val="FootnoteText"/>
      </w:pPr>
      <w:r>
        <w:rPr>
          <w:rStyle w:val="FootnoteReference"/>
        </w:rPr>
        <w:footnoteRef/>
      </w:r>
      <w:r w:rsidR="006510D1">
        <w:tab/>
      </w:r>
      <w:r w:rsidRPr="00E762DA">
        <w:t>AEMO (202</w:t>
      </w:r>
      <w:r>
        <w:t>1</w:t>
      </w:r>
      <w:r w:rsidRPr="00E762DA">
        <w:t>), Victorian Gas Planning Report</w:t>
      </w:r>
      <w:r>
        <w:t xml:space="preserve"> March 2021</w:t>
      </w:r>
      <w:r w:rsidRPr="00E762DA">
        <w:t xml:space="preserve">, page </w:t>
      </w:r>
      <w:r>
        <w:t>4</w:t>
      </w:r>
      <w:r w:rsidR="00497B4B">
        <w:t>.</w:t>
      </w:r>
    </w:p>
  </w:footnote>
  <w:footnote w:id="3">
    <w:p w14:paraId="73B0EA7C" w14:textId="2110234E" w:rsidR="000E73CC" w:rsidRDefault="000E73CC" w:rsidP="00522DC7">
      <w:pPr>
        <w:pStyle w:val="FootnoteText"/>
      </w:pPr>
      <w:r>
        <w:rPr>
          <w:rStyle w:val="FootnoteReference"/>
        </w:rPr>
        <w:footnoteRef/>
      </w:r>
      <w:r w:rsidR="00497B4B">
        <w:tab/>
      </w:r>
      <w:r w:rsidRPr="00B61392">
        <w:t>AEMO (202</w:t>
      </w:r>
      <w:r>
        <w:t>1</w:t>
      </w:r>
      <w:r w:rsidRPr="00B61392">
        <w:t xml:space="preserve">), Victorian Gas Planning Report, </w:t>
      </w:r>
      <w:r>
        <w:t>figure 8</w:t>
      </w:r>
      <w:r w:rsidR="00497B4B">
        <w:t>.</w:t>
      </w:r>
    </w:p>
  </w:footnote>
  <w:footnote w:id="4">
    <w:p w14:paraId="130028C2" w14:textId="7D28F089" w:rsidR="000E73CC" w:rsidRPr="00E54868" w:rsidRDefault="000E73CC" w:rsidP="00EB1BC8">
      <w:pPr>
        <w:pStyle w:val="FootnoteText"/>
        <w:rPr>
          <w:lang w:val="en-US"/>
        </w:rPr>
      </w:pPr>
      <w:r>
        <w:rPr>
          <w:rStyle w:val="FootnoteReference"/>
        </w:rPr>
        <w:footnoteRef/>
      </w:r>
      <w:r w:rsidR="00497B4B">
        <w:tab/>
      </w:r>
      <w:r>
        <w:rPr>
          <w:lang w:val="en-US"/>
        </w:rPr>
        <w:t>AEMO (202</w:t>
      </w:r>
      <w:r>
        <w:t>1</w:t>
      </w:r>
      <w:r>
        <w:rPr>
          <w:lang w:val="en-US"/>
        </w:rPr>
        <w:t>), Victorian Gas Planning Report, page 18</w:t>
      </w:r>
      <w:r w:rsidR="00497B4B">
        <w:rPr>
          <w:lang w:val="en-US"/>
        </w:rPr>
        <w:t>.</w:t>
      </w:r>
    </w:p>
  </w:footnote>
  <w:footnote w:id="5">
    <w:p w14:paraId="538E4657" w14:textId="017EC92B" w:rsidR="000E73CC" w:rsidRDefault="000E73CC">
      <w:pPr>
        <w:pStyle w:val="FootnoteText"/>
      </w:pPr>
      <w:r>
        <w:rPr>
          <w:rStyle w:val="FootnoteReference"/>
        </w:rPr>
        <w:footnoteRef/>
      </w:r>
      <w:r w:rsidR="006510D1">
        <w:tab/>
      </w:r>
      <w:r>
        <w:t>AEMO (2021), Victorian Gas Planning Report, page 25</w:t>
      </w:r>
      <w:r w:rsidR="006510D1">
        <w:t>–</w:t>
      </w:r>
      <w:r>
        <w:t>26</w:t>
      </w:r>
      <w:r w:rsidR="00497B4B">
        <w:t>.</w:t>
      </w:r>
    </w:p>
  </w:footnote>
  <w:footnote w:id="6">
    <w:p w14:paraId="5B7A4791" w14:textId="1737E3AC" w:rsidR="006510D1" w:rsidRDefault="006510D1">
      <w:pPr>
        <w:pStyle w:val="FootnoteText"/>
      </w:pPr>
      <w:r>
        <w:rPr>
          <w:rStyle w:val="FootnoteReference"/>
        </w:rPr>
        <w:footnoteRef/>
      </w:r>
      <w:r>
        <w:tab/>
      </w:r>
      <w:r>
        <w:t>AEMO (2021), Victorian Gas Planning Report, figure 6</w:t>
      </w:r>
      <w:r w:rsidR="00497B4B">
        <w:t>.</w:t>
      </w:r>
    </w:p>
  </w:footnote>
  <w:footnote w:id="7">
    <w:p w14:paraId="6A808650" w14:textId="012CE97E" w:rsidR="000E73CC" w:rsidRPr="00CC6F02" w:rsidRDefault="000E73CC" w:rsidP="009C0B31">
      <w:pPr>
        <w:pStyle w:val="FootnoteText"/>
        <w:rPr>
          <w:rStyle w:val="Hyperlink"/>
        </w:rPr>
      </w:pPr>
      <w:r>
        <w:rPr>
          <w:rStyle w:val="FootnoteReference"/>
        </w:rPr>
        <w:footnoteRef/>
      </w:r>
      <w:r w:rsidR="006510D1">
        <w:rPr>
          <w:lang w:val="en-US"/>
        </w:rPr>
        <w:tab/>
      </w:r>
      <w:r>
        <w:rPr>
          <w:lang w:val="en-US"/>
        </w:rPr>
        <w:t>DELWP Energy Website</w:t>
      </w:r>
      <w:r w:rsidRPr="00C74C0D">
        <w:rPr>
          <w:sz w:val="14"/>
          <w:lang w:val="en-US"/>
        </w:rPr>
        <w:t xml:space="preserve"> - </w:t>
      </w:r>
      <w:hyperlink r:id="rId1" w:history="1">
        <w:r w:rsidRPr="00CC6F02">
          <w:rPr>
            <w:rStyle w:val="Hyperlink"/>
          </w:rPr>
          <w:t>https://www.energy.vic.gov.au/about-energy/key-objectives</w:t>
        </w:r>
      </w:hyperlink>
      <w:r w:rsidR="00497B4B" w:rsidRPr="00CC6F02">
        <w:rPr>
          <w:rStyle w:val="Hyperlink"/>
        </w:rPr>
        <w:t>.</w:t>
      </w:r>
    </w:p>
  </w:footnote>
  <w:footnote w:id="8">
    <w:p w14:paraId="255C0F02" w14:textId="3A1959AF" w:rsidR="000E73CC" w:rsidRPr="00D42943" w:rsidRDefault="000E73CC" w:rsidP="00D6136D">
      <w:pPr>
        <w:pStyle w:val="FootnoteText"/>
        <w:rPr>
          <w:lang w:val="en-US"/>
        </w:rPr>
      </w:pPr>
      <w:r>
        <w:rPr>
          <w:rStyle w:val="FootnoteReference"/>
        </w:rPr>
        <w:footnoteRef/>
      </w:r>
      <w:r w:rsidR="006510D1">
        <w:tab/>
      </w:r>
      <w:r>
        <w:rPr>
          <w:lang w:val="en-US"/>
        </w:rPr>
        <w:t>AEMO (2020), Victoria Gas Planning Report Update, page 6</w:t>
      </w:r>
      <w:r w:rsidR="00497B4B">
        <w:rPr>
          <w:lang w:val="en-US"/>
        </w:rPr>
        <w:t>.</w:t>
      </w:r>
    </w:p>
  </w:footnote>
  <w:footnote w:id="9">
    <w:p w14:paraId="0DF5691C" w14:textId="24C68A75" w:rsidR="000E73CC" w:rsidRDefault="000E73CC" w:rsidP="00D6136D">
      <w:pPr>
        <w:pStyle w:val="FootnoteText"/>
      </w:pPr>
      <w:r>
        <w:rPr>
          <w:rStyle w:val="FootnoteReference"/>
        </w:rPr>
        <w:footnoteRef/>
      </w:r>
      <w:r w:rsidR="006510D1">
        <w:tab/>
      </w:r>
      <w:r w:rsidRPr="001B71C6">
        <w:t>AEMO (202</w:t>
      </w:r>
      <w:r>
        <w:t>1</w:t>
      </w:r>
      <w:r w:rsidRPr="001B71C6">
        <w:t xml:space="preserve">), Victoria Gas Planning Report, page </w:t>
      </w:r>
      <w:r>
        <w:t>3</w:t>
      </w:r>
      <w:r w:rsidR="00497B4B">
        <w:t>.</w:t>
      </w:r>
    </w:p>
  </w:footnote>
  <w:footnote w:id="10">
    <w:p w14:paraId="1D81B769" w14:textId="07CF60FA" w:rsidR="000E73CC" w:rsidRDefault="000E73CC">
      <w:pPr>
        <w:pStyle w:val="FootnoteText"/>
      </w:pPr>
      <w:r>
        <w:rPr>
          <w:rStyle w:val="FootnoteReference"/>
        </w:rPr>
        <w:footnoteRef/>
      </w:r>
      <w:r w:rsidR="006510D1">
        <w:tab/>
      </w:r>
      <w:r w:rsidRPr="001D14F4">
        <w:t>AEMO (2021), Victoria Gas Planning Report, page 3</w:t>
      </w:r>
      <w:r w:rsidR="00497B4B">
        <w:t>.</w:t>
      </w:r>
    </w:p>
  </w:footnote>
  <w:footnote w:id="11">
    <w:p w14:paraId="0250AC94" w14:textId="388213B8" w:rsidR="000E73CC" w:rsidRPr="00CC346D" w:rsidRDefault="000E73CC" w:rsidP="003C7278">
      <w:pPr>
        <w:pStyle w:val="FootnoteText"/>
        <w:rPr>
          <w:lang w:val="en-US"/>
        </w:rPr>
      </w:pPr>
      <w:r>
        <w:rPr>
          <w:rStyle w:val="FootnoteReference"/>
        </w:rPr>
        <w:footnoteRef/>
      </w:r>
      <w:r w:rsidR="006510D1">
        <w:tab/>
      </w:r>
      <w:r>
        <w:t>Victorian Renewable Energy Target – 2018-19 Progress Report, Table 1, page 7</w:t>
      </w:r>
      <w:r w:rsidR="00497B4B">
        <w:t>.</w:t>
      </w:r>
    </w:p>
  </w:footnote>
  <w:footnote w:id="12">
    <w:p w14:paraId="6BF9687A" w14:textId="35F66109" w:rsidR="000E73CC" w:rsidRPr="00202E4D" w:rsidRDefault="000E73CC" w:rsidP="003C7278">
      <w:pPr>
        <w:pStyle w:val="FootnoteText"/>
      </w:pPr>
      <w:r>
        <w:rPr>
          <w:rStyle w:val="FootnoteReference"/>
        </w:rPr>
        <w:footnoteRef/>
      </w:r>
      <w:r w:rsidR="00C14E71">
        <w:tab/>
      </w:r>
      <w:r>
        <w:t xml:space="preserve">Department of Jobs, Precincts and Regions (2019), Statement of Future Uses of Brown Coal, </w:t>
      </w:r>
      <w:hyperlink r:id="rId2" w:history="1">
        <w:r w:rsidRPr="00202E4D">
          <w:rPr>
            <w:rStyle w:val="Hyperlink"/>
          </w:rPr>
          <w:t>https://earthresources.vic.gov.au/__data/assets/pdf_file/0008/457361/Statement-on-future-uses-of-brown-coal.pdf</w:t>
        </w:r>
      </w:hyperlink>
      <w:r w:rsidR="00497B4B">
        <w:rPr>
          <w:sz w:val="14"/>
        </w:rPr>
        <w:t>.</w:t>
      </w:r>
    </w:p>
  </w:footnote>
  <w:footnote w:id="13">
    <w:p w14:paraId="07CF620B" w14:textId="5813C72F" w:rsidR="000E73CC" w:rsidRDefault="000E73CC">
      <w:pPr>
        <w:pStyle w:val="FootnoteText"/>
      </w:pPr>
      <w:r>
        <w:rPr>
          <w:rStyle w:val="FootnoteReference"/>
        </w:rPr>
        <w:footnoteRef/>
      </w:r>
      <w:r w:rsidR="00C14E71">
        <w:tab/>
      </w:r>
      <w:r>
        <w:t xml:space="preserve">Ernst &amp; Young (on behalf of the Department of Environment, Land, Water and Planning) (2017), Modelling of the Victorian renewable energy target scheme scenarios, Section 5 Modelling outcomes, </w:t>
      </w:r>
      <w:hyperlink r:id="rId3" w:history="1">
        <w:r w:rsidRPr="004470A4">
          <w:rPr>
            <w:rStyle w:val="Hyperlink"/>
          </w:rPr>
          <w:t>https://www.energy.vic.gov.au/__data/assets/pdf_file/0021/83091/EY-modelling-report-VRET.pdf</w:t>
        </w:r>
      </w:hyperlink>
      <w:r w:rsidR="00497B4B">
        <w:t>.</w:t>
      </w:r>
    </w:p>
  </w:footnote>
  <w:footnote w:id="14">
    <w:p w14:paraId="21604111" w14:textId="0963950A" w:rsidR="000E73CC" w:rsidRDefault="000E73CC">
      <w:pPr>
        <w:pStyle w:val="FootnoteText"/>
      </w:pPr>
      <w:r>
        <w:rPr>
          <w:rStyle w:val="FootnoteReference"/>
        </w:rPr>
        <w:footnoteRef/>
      </w:r>
      <w:r w:rsidR="00C14E71">
        <w:tab/>
      </w:r>
      <w:r w:rsidRPr="000F1A47">
        <w:t>AER (2020), State of the Energy Market, page</w:t>
      </w:r>
      <w:r>
        <w:t xml:space="preserve"> 43</w:t>
      </w:r>
      <w:r w:rsidRPr="000F1A47">
        <w:t xml:space="preserve">, </w:t>
      </w:r>
      <w:hyperlink r:id="rId4" w:history="1">
        <w:r w:rsidR="00130832" w:rsidRPr="0099125E">
          <w:rPr>
            <w:rStyle w:val="Hyperlink"/>
          </w:rPr>
          <w:t>https://www.aer.gov.au/system/files/State%20of%20the%20energy%20market%202020%20-%20Full%20report%20A4.pdf</w:t>
        </w:r>
      </w:hyperlink>
      <w:r w:rsidR="00497B4B">
        <w:t>.</w:t>
      </w:r>
    </w:p>
  </w:footnote>
  <w:footnote w:id="15">
    <w:p w14:paraId="52771F30" w14:textId="7AAD0228" w:rsidR="000E73CC" w:rsidRDefault="000E73CC">
      <w:pPr>
        <w:pStyle w:val="FootnoteText"/>
      </w:pPr>
      <w:r>
        <w:rPr>
          <w:rStyle w:val="FootnoteReference"/>
        </w:rPr>
        <w:footnoteRef/>
      </w:r>
      <w:r w:rsidR="00C14E71">
        <w:tab/>
      </w:r>
      <w:r>
        <w:t xml:space="preserve">AER (2020), State of the Energy Market, page 37, </w:t>
      </w:r>
      <w:hyperlink r:id="rId5" w:history="1">
        <w:r w:rsidR="00130832" w:rsidRPr="0099125E">
          <w:rPr>
            <w:rStyle w:val="Hyperlink"/>
          </w:rPr>
          <w:t>https://www.aer.gov.au/system/files/State%20of%20the%20energy%20market%202020%20-%20Full%20report%20A4.pdf</w:t>
        </w:r>
      </w:hyperlink>
      <w:r w:rsidR="00497B4B">
        <w:t>.</w:t>
      </w:r>
    </w:p>
  </w:footnote>
  <w:footnote w:id="16">
    <w:p w14:paraId="5C84D3DA" w14:textId="41756F23" w:rsidR="00AB4E04" w:rsidRPr="00C14E71" w:rsidRDefault="00AB4E04" w:rsidP="00C14E71">
      <w:pPr>
        <w:pStyle w:val="FootnoteText"/>
        <w:rPr>
          <w:rStyle w:val="FootnoteReference"/>
          <w:vertAlign w:val="baseline"/>
        </w:rPr>
      </w:pPr>
      <w:r w:rsidRPr="00C14E71">
        <w:rPr>
          <w:rStyle w:val="FootnoteReference"/>
        </w:rPr>
        <w:footnoteRef/>
      </w:r>
      <w:r w:rsidR="00C14E71" w:rsidRPr="00C14E71">
        <w:rPr>
          <w:rStyle w:val="FootnoteReference"/>
          <w:vertAlign w:val="baseline"/>
        </w:rPr>
        <w:tab/>
      </w:r>
      <w:r w:rsidRPr="00C14E71">
        <w:rPr>
          <w:rStyle w:val="FootnoteReference"/>
          <w:vertAlign w:val="baseline"/>
        </w:rPr>
        <w:t>APA (2020) Climate Change Position Statement</w:t>
      </w:r>
      <w:r w:rsidR="00C14E71">
        <w:t>.</w:t>
      </w:r>
    </w:p>
  </w:footnote>
  <w:footnote w:id="17">
    <w:p w14:paraId="2EB06493" w14:textId="7F67AE50" w:rsidR="000E73CC" w:rsidRPr="00C14E71" w:rsidRDefault="000E73CC" w:rsidP="00C14E71">
      <w:pPr>
        <w:pStyle w:val="FootnoteText"/>
      </w:pPr>
      <w:r w:rsidRPr="00C14E71">
        <w:rPr>
          <w:rStyle w:val="FootnoteReference"/>
        </w:rPr>
        <w:footnoteRef/>
      </w:r>
      <w:r w:rsidR="00C14E71" w:rsidRPr="00C14E71">
        <w:tab/>
      </w:r>
      <w:r w:rsidRPr="00C14E71">
        <w:t xml:space="preserve">AER (2020), State of the Energy Market, figure 2.21, </w:t>
      </w:r>
      <w:r w:rsidRPr="00CC6F02">
        <w:rPr>
          <w:rStyle w:val="Hyperlink"/>
        </w:rPr>
        <w:t>https://www.aer.gov.au/system/files/State%20of%20the%20energy%20market%202020%20-%20Full%20report%20A4.pdf</w:t>
      </w:r>
      <w:r w:rsidR="00A061FB" w:rsidRPr="00CC6F02">
        <w:rPr>
          <w:rStyle w:val="Hyperlink"/>
        </w:rPr>
        <w:t>.</w:t>
      </w:r>
      <w:r w:rsidR="00A061FB" w:rsidRPr="00C14E71">
        <w:t xml:space="preserve"> </w:t>
      </w:r>
      <w:r w:rsidRPr="00C14E71">
        <w:t xml:space="preserve">Note that as the Gas Import Jetty (Crib Point) project was not confirmed </w:t>
      </w:r>
      <w:r w:rsidRPr="00C14E71">
        <w:t>at March 2020, it does not form part of this reported new energy generation.</w:t>
      </w:r>
    </w:p>
  </w:footnote>
  <w:footnote w:id="18">
    <w:p w14:paraId="5A2A11CC" w14:textId="771D6FA4" w:rsidR="000E73CC" w:rsidRPr="00C14E71" w:rsidRDefault="000E73CC" w:rsidP="00C14E71">
      <w:pPr>
        <w:pStyle w:val="FootnoteText"/>
        <w:rPr>
          <w:rStyle w:val="FootnoteReference"/>
          <w:vertAlign w:val="baseline"/>
        </w:rPr>
      </w:pPr>
      <w:r w:rsidRPr="00C14E71">
        <w:rPr>
          <w:rStyle w:val="FootnoteReference"/>
        </w:rPr>
        <w:footnoteRef/>
      </w:r>
      <w:r w:rsidR="00C14E71">
        <w:rPr>
          <w:rStyle w:val="FootnoteReference"/>
          <w:vertAlign w:val="baseline"/>
        </w:rPr>
        <w:tab/>
      </w:r>
      <w:r w:rsidRPr="00C14E71">
        <w:rPr>
          <w:rStyle w:val="FootnoteReference"/>
          <w:vertAlign w:val="baseline"/>
        </w:rPr>
        <w:t>Victorian Government, Renewable Energy Action Plan, Action 18</w:t>
      </w:r>
      <w:r w:rsidR="00C14E71">
        <w:t>.</w:t>
      </w:r>
    </w:p>
  </w:footnote>
  <w:footnote w:id="19">
    <w:p w14:paraId="46FC2E5D" w14:textId="048E39E1" w:rsidR="000E73CC" w:rsidRDefault="000E73CC">
      <w:pPr>
        <w:pStyle w:val="FootnoteText"/>
      </w:pPr>
      <w:r>
        <w:rPr>
          <w:rStyle w:val="FootnoteReference"/>
        </w:rPr>
        <w:footnoteRef/>
      </w:r>
      <w:r w:rsidR="00C14E71">
        <w:tab/>
      </w:r>
      <w:r w:rsidRPr="00BC5C5E">
        <w:t>AEMO (202</w:t>
      </w:r>
      <w:r>
        <w:t>1</w:t>
      </w:r>
      <w:r w:rsidRPr="00BC5C5E">
        <w:t xml:space="preserve">), Victoria Gas Planning Report, </w:t>
      </w:r>
      <w:r>
        <w:t>figure 14</w:t>
      </w:r>
      <w:r w:rsidR="00C14E71">
        <w:t>.</w:t>
      </w:r>
    </w:p>
  </w:footnote>
  <w:footnote w:id="20">
    <w:p w14:paraId="1AF9AB3C" w14:textId="5AD8B3D5" w:rsidR="000E73CC" w:rsidRPr="005E29F4" w:rsidRDefault="000E73CC" w:rsidP="003C7278">
      <w:pPr>
        <w:pStyle w:val="FootnoteText"/>
        <w:rPr>
          <w:lang w:val="en-US"/>
        </w:rPr>
      </w:pPr>
      <w:r>
        <w:rPr>
          <w:rStyle w:val="FootnoteReference"/>
        </w:rPr>
        <w:footnoteRef/>
      </w:r>
      <w:r w:rsidR="00C14E71">
        <w:tab/>
      </w:r>
      <w:r>
        <w:rPr>
          <w:lang w:val="en-US"/>
        </w:rPr>
        <w:t>AEMO (202</w:t>
      </w:r>
      <w:r>
        <w:t>1</w:t>
      </w:r>
      <w:r>
        <w:rPr>
          <w:lang w:val="en-US"/>
        </w:rPr>
        <w:t xml:space="preserve">) Victorian Gas Planning Report, page </w:t>
      </w:r>
      <w:r>
        <w:t>10</w:t>
      </w:r>
      <w:r w:rsidR="00C14E71">
        <w:t>.</w:t>
      </w:r>
    </w:p>
  </w:footnote>
  <w:footnote w:id="21">
    <w:p w14:paraId="570AE2B3" w14:textId="7ED63754" w:rsidR="000E73CC" w:rsidRDefault="000E73CC">
      <w:pPr>
        <w:pStyle w:val="FootnoteText"/>
      </w:pPr>
      <w:r>
        <w:rPr>
          <w:rStyle w:val="FootnoteReference"/>
        </w:rPr>
        <w:footnoteRef/>
      </w:r>
      <w:r w:rsidR="00C14E71">
        <w:tab/>
      </w:r>
      <w:r w:rsidRPr="00E65A4A">
        <w:t>AEMO (202</w:t>
      </w:r>
      <w:r>
        <w:t>1</w:t>
      </w:r>
      <w:r w:rsidRPr="00E65A4A">
        <w:t xml:space="preserve">) Victorian Gas Planning Report update, page </w:t>
      </w:r>
      <w:r>
        <w:t>87</w:t>
      </w:r>
      <w:r w:rsidR="00C14E71">
        <w:t>.</w:t>
      </w:r>
    </w:p>
  </w:footnote>
  <w:footnote w:id="22">
    <w:p w14:paraId="4817F176" w14:textId="3A6C146E" w:rsidR="000E73CC" w:rsidRDefault="000E73CC">
      <w:pPr>
        <w:pStyle w:val="FootnoteText"/>
      </w:pPr>
      <w:r>
        <w:rPr>
          <w:rStyle w:val="FootnoteReference"/>
        </w:rPr>
        <w:footnoteRef/>
      </w:r>
      <w:r w:rsidR="00C14E71">
        <w:tab/>
      </w:r>
      <w:r w:rsidRPr="00E65A4A">
        <w:t xml:space="preserve">AEMO (2020) Victorian Gas Planning Report update, page </w:t>
      </w:r>
      <w:r>
        <w:t>26</w:t>
      </w:r>
      <w:r w:rsidR="00C14E71">
        <w:t>.</w:t>
      </w:r>
    </w:p>
  </w:footnote>
  <w:footnote w:id="23">
    <w:p w14:paraId="7A118C84" w14:textId="28A27243" w:rsidR="000E73CC" w:rsidRDefault="000E73CC">
      <w:pPr>
        <w:pStyle w:val="FootnoteText"/>
      </w:pPr>
      <w:r>
        <w:rPr>
          <w:rStyle w:val="FootnoteReference"/>
        </w:rPr>
        <w:footnoteRef/>
      </w:r>
      <w:r w:rsidR="00C14E71">
        <w:tab/>
      </w:r>
      <w:r w:rsidRPr="00E65A4A">
        <w:t>AEMO (202</w:t>
      </w:r>
      <w:r>
        <w:t>1</w:t>
      </w:r>
      <w:r w:rsidRPr="00E65A4A">
        <w:t>) Victorian Gas Planning Report</w:t>
      </w:r>
      <w:r w:rsidR="00A061FB">
        <w:t xml:space="preserve">, </w:t>
      </w:r>
      <w:r w:rsidRPr="00E65A4A">
        <w:t xml:space="preserve">page </w:t>
      </w:r>
      <w:r>
        <w:t>38</w:t>
      </w:r>
      <w:r w:rsidR="00C14E71">
        <w:t>.</w:t>
      </w:r>
    </w:p>
  </w:footnote>
  <w:footnote w:id="24">
    <w:p w14:paraId="2594B702" w14:textId="5722AC67" w:rsidR="000E73CC" w:rsidRDefault="000E73CC">
      <w:pPr>
        <w:pStyle w:val="FootnoteText"/>
      </w:pPr>
      <w:r>
        <w:rPr>
          <w:rStyle w:val="FootnoteReference"/>
        </w:rPr>
        <w:footnoteRef/>
      </w:r>
      <w:r w:rsidR="00C14E71">
        <w:tab/>
      </w:r>
      <w:r>
        <w:t>AEMO (2021) Victorian Gas Planning Report, page 32</w:t>
      </w:r>
      <w:r w:rsidR="00C14E71">
        <w:t>.</w:t>
      </w:r>
    </w:p>
  </w:footnote>
  <w:footnote w:id="25">
    <w:p w14:paraId="0B8E8CAA" w14:textId="730CEC5A" w:rsidR="000E73CC" w:rsidRDefault="000E73CC">
      <w:pPr>
        <w:pStyle w:val="FootnoteText"/>
      </w:pPr>
      <w:r>
        <w:rPr>
          <w:rStyle w:val="FootnoteReference"/>
        </w:rPr>
        <w:footnoteRef/>
      </w:r>
      <w:r w:rsidR="00497B4B">
        <w:tab/>
      </w:r>
      <w:r w:rsidRPr="00900FDF">
        <w:t xml:space="preserve">APA WORM business case submission, page </w:t>
      </w:r>
      <w:r>
        <w:t>9</w:t>
      </w:r>
      <w:r w:rsidR="00130832">
        <w:t>–</w:t>
      </w:r>
      <w:r>
        <w:t>10</w:t>
      </w:r>
      <w:r w:rsidR="00497B4B">
        <w:t>.</w:t>
      </w:r>
    </w:p>
  </w:footnote>
  <w:footnote w:id="26">
    <w:p w14:paraId="602D9B66" w14:textId="4080C696" w:rsidR="000E73CC" w:rsidRDefault="000E73CC">
      <w:pPr>
        <w:pStyle w:val="FootnoteText"/>
      </w:pPr>
      <w:r>
        <w:rPr>
          <w:rStyle w:val="FootnoteReference"/>
        </w:rPr>
        <w:footnoteRef/>
      </w:r>
      <w:r w:rsidR="00497B4B">
        <w:tab/>
      </w:r>
      <w:r>
        <w:t xml:space="preserve">Fuel saving of $3 million reported in the APA WORM business case submission. With average price of natural gas in the previous 12 months of 6.18 per </w:t>
      </w:r>
      <w:r>
        <w:t>GJ equating to a saving of 485,437 GJ per annum. This</w:t>
      </w:r>
      <w:r w:rsidR="00130832">
        <w:t> </w:t>
      </w:r>
      <w:r>
        <w:t>equates to a saving of approximately 25,015tCO</w:t>
      </w:r>
      <w:r w:rsidRPr="00477CEE">
        <w:rPr>
          <w:rStyle w:val="Subscript"/>
        </w:rPr>
        <w:t>2</w:t>
      </w:r>
      <w:r>
        <w:t xml:space="preserve">-e per annum based on National Greenhouse Accounts emission factor for natural gas distributed in a pipeline. </w:t>
      </w:r>
    </w:p>
  </w:footnote>
  <w:footnote w:id="27">
    <w:p w14:paraId="31D14172" w14:textId="7EEEE5AD" w:rsidR="000E73CC" w:rsidRPr="00E27C61" w:rsidRDefault="000E73CC" w:rsidP="00322966">
      <w:pPr>
        <w:pStyle w:val="FootnoteText"/>
        <w:rPr>
          <w:lang w:val="en-US"/>
        </w:rPr>
      </w:pPr>
      <w:r>
        <w:rPr>
          <w:rStyle w:val="FootnoteReference"/>
        </w:rPr>
        <w:footnoteRef/>
      </w:r>
      <w:r w:rsidR="00497B4B">
        <w:tab/>
      </w:r>
      <w:r>
        <w:rPr>
          <w:lang w:val="en-US"/>
        </w:rPr>
        <w:t>APA WORM business case submission, page 9</w:t>
      </w:r>
      <w:r w:rsidR="00497B4B">
        <w:rPr>
          <w:lang w:val="en-US"/>
        </w:rPr>
        <w:t>.</w:t>
      </w:r>
    </w:p>
  </w:footnote>
  <w:footnote w:id="28">
    <w:p w14:paraId="36E26C84" w14:textId="2BFFB79E" w:rsidR="000E73CC" w:rsidRDefault="000E73CC" w:rsidP="00322966">
      <w:pPr>
        <w:pStyle w:val="FootnoteText"/>
      </w:pPr>
      <w:r>
        <w:rPr>
          <w:rStyle w:val="FootnoteReference"/>
        </w:rPr>
        <w:footnoteRef/>
      </w:r>
      <w:r w:rsidR="00497B4B">
        <w:tab/>
      </w:r>
      <w:r>
        <w:t>AEMO (2017) Submission to AER on the APA VTS Access Arrangement 2018</w:t>
      </w:r>
      <w:r w:rsidR="00497B4B">
        <w:t>–</w:t>
      </w:r>
      <w:r>
        <w:t xml:space="preserve">2022 </w:t>
      </w:r>
      <w:r w:rsidR="00497B4B">
        <w:t>–</w:t>
      </w:r>
      <w:r>
        <w:t xml:space="preserve"> Western Outer Ring</w:t>
      </w:r>
      <w:r w:rsidR="00497B4B">
        <w:t> </w:t>
      </w:r>
      <w:r>
        <w:t>Main</w:t>
      </w:r>
      <w:r w:rsidR="002D27B5">
        <w:t>.</w:t>
      </w:r>
    </w:p>
  </w:footnote>
  <w:footnote w:id="29">
    <w:p w14:paraId="790F9579" w14:textId="3CA1F445" w:rsidR="000E73CC" w:rsidRDefault="000E73CC" w:rsidP="00322966">
      <w:pPr>
        <w:pStyle w:val="FootnoteText"/>
      </w:pPr>
      <w:r>
        <w:rPr>
          <w:rStyle w:val="FootnoteReference"/>
        </w:rPr>
        <w:footnoteRef/>
      </w:r>
      <w:r w:rsidR="00497B4B">
        <w:tab/>
      </w:r>
      <w:r>
        <w:t xml:space="preserve">Refer footnote </w:t>
      </w:r>
      <w:r>
        <w:fldChar w:fldCharType="begin"/>
      </w:r>
      <w:r>
        <w:instrText xml:space="preserve"> NOTEREF _Ref47944777 \h </w:instrText>
      </w:r>
      <w:r>
        <w:fldChar w:fldCharType="separate"/>
      </w:r>
      <w:r w:rsidR="002D27B5">
        <w:t>25</w:t>
      </w:r>
      <w:r>
        <w:fldChar w:fldCharType="end"/>
      </w:r>
      <w:r>
        <w:t xml:space="preserve"> for calculation of greenhouse emissions savings</w:t>
      </w:r>
      <w:r w:rsidR="002D27B5">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F7FCF" w14:textId="77777777" w:rsidR="000E73CC" w:rsidRDefault="000E73CC" w:rsidP="0014525F">
    <w:pPr>
      <w:pStyle w:val="HeaderEven"/>
    </w:pPr>
    <w:r w:rsidRPr="00F3331F">
      <w:t>Environment Effects Statement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853D6" w14:textId="77777777" w:rsidR="000E73CC" w:rsidRDefault="000E73CC" w:rsidP="00F3331F">
    <w:pPr>
      <w:pStyle w:val="Header"/>
      <w:jc w:val="right"/>
    </w:pPr>
    <w:r>
      <w:rPr>
        <w:noProof/>
        <w:lang w:eastAsia="en-AU"/>
      </w:rPr>
      <w:drawing>
        <wp:inline distT="0" distB="0" distL="0" distR="0" wp14:anchorId="1A6D5095" wp14:editId="6EB91C06">
          <wp:extent cx="2937600" cy="529200"/>
          <wp:effectExtent l="0" t="0" r="0" b="4445"/>
          <wp:docPr id="7" name="Picture 7" descr="APA_ProjectBranding_Draft-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PA_ProjectBranding_Draft-02-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7600" cy="52920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D908B" w14:textId="22E55389" w:rsidR="000E73CC" w:rsidRPr="000D7CAF" w:rsidRDefault="000E73CC" w:rsidP="000D7CAF">
    <w:pPr>
      <w:pStyle w:val="Header"/>
    </w:pPr>
    <w:r>
      <w:fldChar w:fldCharType="begin"/>
    </w:r>
    <w:r>
      <w:instrText xml:space="preserve"> IF</w:instrText>
    </w:r>
    <w:r>
      <w:rPr>
        <w:noProof/>
      </w:rPr>
      <w:fldChar w:fldCharType="begin"/>
    </w:r>
    <w:r>
      <w:rPr>
        <w:noProof/>
      </w:rPr>
      <w:instrText xml:space="preserve"> STYLEREF "Cover Title" </w:instrText>
    </w:r>
    <w:r>
      <w:rPr>
        <w:noProof/>
      </w:rPr>
      <w:fldChar w:fldCharType="separate"/>
    </w:r>
    <w:r w:rsidR="00BE54D2">
      <w:rPr>
        <w:b/>
        <w:bCs/>
        <w:noProof/>
        <w:lang w:val="en-US"/>
      </w:rPr>
      <w:instrText>Error! No text of specified style in document.</w:instrText>
    </w:r>
    <w:r>
      <w:rPr>
        <w:noProof/>
      </w:rPr>
      <w:fldChar w:fldCharType="end"/>
    </w:r>
    <w:r>
      <w:instrText>&lt;&gt;"Error*""</w:instrText>
    </w:r>
    <w:r>
      <w:rPr>
        <w:noProof/>
      </w:rPr>
      <w:fldChar w:fldCharType="begin"/>
    </w:r>
    <w:r>
      <w:rPr>
        <w:noProof/>
      </w:rPr>
      <w:instrText xml:space="preserve"> STYLEREF "Cover Title" </w:instrText>
    </w:r>
    <w:r>
      <w:rPr>
        <w:noProof/>
      </w:rPr>
      <w:fldChar w:fldCharType="separate"/>
    </w:r>
    <w:r>
      <w:rPr>
        <w:noProof/>
      </w:rPr>
      <w:instrText>Cover Title</w:instrText>
    </w:r>
    <w:r>
      <w:rPr>
        <w:noProof/>
      </w:rPr>
      <w:fldChar w:fldCharType="end"/>
    </w:r>
    <w:r>
      <w:instrText>"</w:instrTex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BEEA2" w14:textId="1BB0166C" w:rsidR="000E73CC" w:rsidRPr="000D7CAF" w:rsidRDefault="000E73CC" w:rsidP="000D7CAF">
    <w:pPr>
      <w:pStyle w:val="Header"/>
    </w:pPr>
    <w:r>
      <w:fldChar w:fldCharType="begin"/>
    </w:r>
    <w:r>
      <w:instrText xml:space="preserve"> IF</w:instrText>
    </w:r>
    <w:r>
      <w:rPr>
        <w:noProof/>
      </w:rPr>
      <w:fldChar w:fldCharType="begin"/>
    </w:r>
    <w:r>
      <w:rPr>
        <w:noProof/>
      </w:rPr>
      <w:instrText xml:space="preserve"> STYLEREF "Cover Title" </w:instrText>
    </w:r>
    <w:r>
      <w:rPr>
        <w:noProof/>
      </w:rPr>
      <w:fldChar w:fldCharType="separate"/>
    </w:r>
    <w:r w:rsidR="002D27B5">
      <w:rPr>
        <w:b/>
        <w:bCs/>
        <w:noProof/>
        <w:lang w:val="en-US"/>
      </w:rPr>
      <w:instrText>Error! No text of specified style in document.</w:instrText>
    </w:r>
    <w:r>
      <w:rPr>
        <w:noProof/>
      </w:rPr>
      <w:fldChar w:fldCharType="end"/>
    </w:r>
    <w:r>
      <w:instrText>&lt;&gt;"Error*""</w:instrText>
    </w:r>
    <w:r>
      <w:rPr>
        <w:noProof/>
      </w:rPr>
      <w:fldChar w:fldCharType="begin"/>
    </w:r>
    <w:r>
      <w:rPr>
        <w:noProof/>
      </w:rPr>
      <w:instrText xml:space="preserve"> STYLEREF "Cover Title" </w:instrText>
    </w:r>
    <w:r>
      <w:rPr>
        <w:noProof/>
      </w:rPr>
      <w:fldChar w:fldCharType="separate"/>
    </w:r>
    <w:r>
      <w:rPr>
        <w:noProof/>
      </w:rPr>
      <w:instrText>Cover Title</w:instrText>
    </w:r>
    <w:r>
      <w:rPr>
        <w:noProof/>
      </w:rPr>
      <w:fldChar w:fldCharType="end"/>
    </w:r>
    <w:r>
      <w:instrText>"</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F8404B1E"/>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104EFB6C"/>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59FA50F4"/>
    <w:lvl w:ilvl="0">
      <w:start w:val="1"/>
      <w:numFmt w:val="decimal"/>
      <w:pStyle w:val="ListNumber"/>
      <w:lvlText w:val="%1."/>
      <w:lvlJc w:val="left"/>
      <w:pPr>
        <w:tabs>
          <w:tab w:val="num" w:pos="360"/>
        </w:tabs>
        <w:ind w:left="360" w:hanging="360"/>
      </w:pPr>
    </w:lvl>
  </w:abstractNum>
  <w:abstractNum w:abstractNumId="3" w15:restartNumberingAfterBreak="0">
    <w:nsid w:val="0D7D2843"/>
    <w:multiLevelType w:val="multilevel"/>
    <w:tmpl w:val="13B0B224"/>
    <w:lvl w:ilvl="0">
      <w:start w:val="1"/>
      <w:numFmt w:val="bullet"/>
      <w:pStyle w:val="TableBullet1"/>
      <w:lvlText w:val=""/>
      <w:lvlJc w:val="left"/>
      <w:pPr>
        <w:ind w:left="340" w:hanging="340"/>
      </w:pPr>
      <w:rPr>
        <w:rFonts w:ascii="Symbol" w:hAnsi="Symbol" w:hint="default"/>
        <w:b w:val="0"/>
        <w:i w:val="0"/>
        <w:color w:val="1C4483" w:themeColor="accent1"/>
        <w:sz w:val="18"/>
      </w:rPr>
    </w:lvl>
    <w:lvl w:ilvl="1">
      <w:start w:val="1"/>
      <w:numFmt w:val="bullet"/>
      <w:pStyle w:val="TableBullet2"/>
      <w:lvlText w:val="–"/>
      <w:lvlJc w:val="left"/>
      <w:pPr>
        <w:ind w:left="680" w:hanging="340"/>
      </w:pPr>
      <w:rPr>
        <w:rFonts w:hint="default"/>
        <w:b w:val="0"/>
        <w:i w:val="0"/>
        <w:color w:val="1C4483" w:themeColor="accent1"/>
        <w:sz w:val="18"/>
      </w:rPr>
    </w:lvl>
    <w:lvl w:ilvl="2">
      <w:start w:val="1"/>
      <w:numFmt w:val="bullet"/>
      <w:pStyle w:val="TableBullet3"/>
      <w:lvlText w:val="-"/>
      <w:lvlJc w:val="left"/>
      <w:pPr>
        <w:ind w:left="1020" w:hanging="340"/>
      </w:pPr>
      <w:rPr>
        <w:rFonts w:hint="default"/>
        <w:b w:val="0"/>
        <w:i w:val="0"/>
        <w:color w:val="1C4483" w:themeColor="accent1"/>
        <w:sz w:val="18"/>
      </w:rPr>
    </w:lvl>
    <w:lvl w:ilvl="3">
      <w:start w:val="1"/>
      <w:numFmt w:val="none"/>
      <w:lvlRestart w:val="0"/>
      <w:suff w:val="nothing"/>
      <w:lvlText w:val="%4"/>
      <w:lvlJc w:val="left"/>
      <w:pPr>
        <w:ind w:left="0" w:firstLine="0"/>
      </w:pPr>
      <w:rPr>
        <w:rFonts w:hint="default"/>
        <w:color w:val="000000" w:themeColor="text1"/>
      </w:rPr>
    </w:lvl>
    <w:lvl w:ilvl="4">
      <w:start w:val="1"/>
      <w:numFmt w:val="none"/>
      <w:lvlRestart w:val="0"/>
      <w:suff w:val="nothing"/>
      <w:lvlText w:val="%5"/>
      <w:lvlJc w:val="left"/>
      <w:pPr>
        <w:ind w:left="0" w:firstLine="0"/>
      </w:pPr>
      <w:rPr>
        <w:rFonts w:hint="default"/>
        <w:color w:val="000000" w:themeColor="text1"/>
      </w:rPr>
    </w:lvl>
    <w:lvl w:ilvl="5">
      <w:start w:val="1"/>
      <w:numFmt w:val="none"/>
      <w:lvlRestart w:val="0"/>
      <w:suff w:val="nothing"/>
      <w:lvlText w:val="%6"/>
      <w:lvlJc w:val="left"/>
      <w:pPr>
        <w:ind w:left="0" w:firstLine="0"/>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4"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A252DF8"/>
    <w:multiLevelType w:val="multilevel"/>
    <w:tmpl w:val="F0B016FE"/>
    <w:lvl w:ilvl="0">
      <w:start w:val="1"/>
      <w:numFmt w:val="decimal"/>
      <w:lvlText w:val="%1"/>
      <w:lvlJc w:val="left"/>
      <w:pPr>
        <w:tabs>
          <w:tab w:val="num" w:pos="284"/>
        </w:tabs>
        <w:ind w:left="1134" w:hanging="1134"/>
      </w:pPr>
      <w:rPr>
        <w:rFonts w:asciiTheme="majorHAnsi" w:hAnsiTheme="majorHAnsi" w:hint="default"/>
        <w:color w:val="auto"/>
      </w:rPr>
    </w:lvl>
    <w:lvl w:ilvl="1">
      <w:start w:val="1"/>
      <w:numFmt w:val="decimal"/>
      <w:lvlRestart w:val="0"/>
      <w:lvlText w:val="%1.%2"/>
      <w:lvlJc w:val="left"/>
      <w:pPr>
        <w:tabs>
          <w:tab w:val="num" w:pos="1134"/>
        </w:tabs>
        <w:ind w:left="1134" w:hanging="1134"/>
      </w:pPr>
      <w:rPr>
        <w:rFonts w:asciiTheme="majorHAnsi" w:hAnsiTheme="majorHAnsi" w:hint="default"/>
        <w:color w:val="1C4483" w:themeColor="accent1"/>
      </w:rPr>
    </w:lvl>
    <w:lvl w:ilvl="2">
      <w:start w:val="1"/>
      <w:numFmt w:val="decimal"/>
      <w:lvlRestart w:val="0"/>
      <w:lvlText w:val="%1.%2.%3"/>
      <w:lvlJc w:val="left"/>
      <w:pPr>
        <w:tabs>
          <w:tab w:val="num" w:pos="1701"/>
        </w:tabs>
        <w:ind w:left="1701" w:hanging="1701"/>
      </w:pPr>
      <w:rPr>
        <w:rFonts w:asciiTheme="majorHAnsi" w:hAnsiTheme="majorHAnsi" w:hint="default"/>
        <w:color w:val="1C4483" w:themeColor="accent1"/>
      </w:rPr>
    </w:lvl>
    <w:lvl w:ilvl="3">
      <w:start w:val="1"/>
      <w:numFmt w:val="none"/>
      <w:pStyle w:val="Heading4"/>
      <w:suff w:val="nothing"/>
      <w:lvlText w:val=""/>
      <w:lvlJc w:val="left"/>
      <w:pPr>
        <w:ind w:left="0" w:firstLine="0"/>
      </w:pPr>
      <w:rPr>
        <w:rFonts w:asciiTheme="majorHAnsi" w:hAnsiTheme="majorHAnsi" w:hint="default"/>
        <w:color w:val="00A2E2" w:themeColor="accent2"/>
      </w:rPr>
    </w:lvl>
    <w:lvl w:ilvl="4">
      <w:start w:val="1"/>
      <w:numFmt w:val="none"/>
      <w:suff w:val="nothing"/>
      <w:lvlText w:val=""/>
      <w:lvlJc w:val="left"/>
      <w:pPr>
        <w:ind w:left="0" w:firstLine="0"/>
      </w:pPr>
      <w:rPr>
        <w:rFonts w:asciiTheme="majorHAnsi" w:hAnsiTheme="majorHAnsi" w:hint="default"/>
        <w:color w:val="25282A" w:themeColor="text2"/>
      </w:rPr>
    </w:lvl>
    <w:lvl w:ilvl="5">
      <w:start w:val="1"/>
      <w:numFmt w:val="none"/>
      <w:pStyle w:val="Heading6"/>
      <w:suff w:val="nothing"/>
      <w:lvlText w:val=""/>
      <w:lvlJc w:val="left"/>
      <w:pPr>
        <w:ind w:left="0" w:firstLine="0"/>
      </w:pPr>
      <w:rPr>
        <w:rFonts w:asciiTheme="majorHAnsi" w:hAnsiTheme="majorHAnsi" w:hint="default"/>
        <w:color w:val="25282A" w:themeColor="text2"/>
      </w:rPr>
    </w:lvl>
    <w:lvl w:ilvl="6">
      <w:start w:val="1"/>
      <w:numFmt w:val="decimal"/>
      <w:pStyle w:val="BodyNumbering1"/>
      <w:lvlText w:val="%7"/>
      <w:lvlJc w:val="left"/>
      <w:pPr>
        <w:ind w:left="340" w:hanging="340"/>
      </w:pPr>
      <w:rPr>
        <w:rFonts w:asciiTheme="minorHAnsi" w:hAnsiTheme="minorHAnsi" w:hint="default"/>
        <w:color w:val="25282A" w:themeColor="text2"/>
      </w:rPr>
    </w:lvl>
    <w:lvl w:ilvl="7">
      <w:start w:val="6"/>
      <w:numFmt w:val="lowerLetter"/>
      <w:lvlText w:val="%8"/>
      <w:lvlJc w:val="left"/>
      <w:pPr>
        <w:ind w:left="680" w:hanging="340"/>
      </w:pPr>
      <w:rPr>
        <w:rFonts w:asciiTheme="minorHAnsi" w:hAnsiTheme="minorHAnsi" w:hint="default"/>
        <w:color w:val="25282A" w:themeColor="text2"/>
      </w:rPr>
    </w:lvl>
    <w:lvl w:ilvl="8">
      <w:start w:val="1"/>
      <w:numFmt w:val="lowerRoman"/>
      <w:pStyle w:val="BodyNumbering3"/>
      <w:lvlText w:val="%9"/>
      <w:lvlJc w:val="right"/>
      <w:pPr>
        <w:ind w:left="1021" w:hanging="284"/>
      </w:pPr>
      <w:rPr>
        <w:rFonts w:hint="default"/>
        <w:color w:val="25282A" w:themeColor="text2"/>
      </w:rPr>
    </w:lvl>
  </w:abstractNum>
  <w:abstractNum w:abstractNumId="6" w15:restartNumberingAfterBreak="0">
    <w:nsid w:val="5BB205BE"/>
    <w:multiLevelType w:val="multilevel"/>
    <w:tmpl w:val="96FCADC0"/>
    <w:lvl w:ilvl="0">
      <w:start w:val="1"/>
      <w:numFmt w:val="decimal"/>
      <w:pStyle w:val="TableNumbering1"/>
      <w:lvlText w:val="%1"/>
      <w:lvlJc w:val="left"/>
      <w:pPr>
        <w:ind w:left="340" w:hanging="340"/>
      </w:pPr>
      <w:rPr>
        <w:rFonts w:asciiTheme="minorHAnsi" w:hAnsiTheme="minorHAnsi" w:hint="default"/>
      </w:rPr>
    </w:lvl>
    <w:lvl w:ilvl="1">
      <w:start w:val="1"/>
      <w:numFmt w:val="lowerLetter"/>
      <w:pStyle w:val="TableNumbering2"/>
      <w:lvlText w:val="%2"/>
      <w:lvlJc w:val="left"/>
      <w:pPr>
        <w:ind w:left="680" w:hanging="340"/>
      </w:pPr>
      <w:rPr>
        <w:rFonts w:asciiTheme="minorHAnsi" w:hAnsiTheme="minorHAnsi" w:hint="default"/>
      </w:rPr>
    </w:lvl>
    <w:lvl w:ilvl="2">
      <w:start w:val="1"/>
      <w:numFmt w:val="lowerRoman"/>
      <w:pStyle w:val="TableNumbering3"/>
      <w:lvlText w:val="%3"/>
      <w:lvlJc w:val="left"/>
      <w:pPr>
        <w:ind w:left="1021" w:hanging="341"/>
      </w:pPr>
      <w:rPr>
        <w:rFonts w:asciiTheme="minorHAnsi" w:hAnsiTheme="minorHAns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4D508BE"/>
    <w:multiLevelType w:val="multilevel"/>
    <w:tmpl w:val="E63C23E6"/>
    <w:lvl w:ilvl="0">
      <w:start w:val="1"/>
      <w:numFmt w:val="upperLetter"/>
      <w:pStyle w:val="AppendixHeading1"/>
      <w:lvlText w:val="Appendix %1"/>
      <w:lvlJc w:val="left"/>
      <w:pPr>
        <w:ind w:left="1985" w:hanging="1985"/>
      </w:pPr>
      <w:rPr>
        <w:rFonts w:asciiTheme="majorHAnsi" w:hAnsiTheme="majorHAnsi" w:hint="default"/>
        <w:b w:val="0"/>
        <w:i w:val="0"/>
        <w:color w:val="1C4483" w:themeColor="accent1"/>
        <w:sz w:val="32"/>
        <w:szCs w:val="36"/>
      </w:rPr>
    </w:lvl>
    <w:lvl w:ilvl="1">
      <w:start w:val="1"/>
      <w:numFmt w:val="decimal"/>
      <w:pStyle w:val="AppendixHeading2"/>
      <w:lvlText w:val="%1.%2"/>
      <w:lvlJc w:val="left"/>
      <w:pPr>
        <w:ind w:left="1134" w:hanging="1134"/>
      </w:pPr>
      <w:rPr>
        <w:rFonts w:hint="default"/>
        <w:b w:val="0"/>
        <w:i w:val="0"/>
        <w:color w:val="1C4483" w:themeColor="accent1"/>
        <w:sz w:val="28"/>
        <w:szCs w:val="32"/>
      </w:rPr>
    </w:lvl>
    <w:lvl w:ilvl="2">
      <w:start w:val="1"/>
      <w:numFmt w:val="decimal"/>
      <w:pStyle w:val="AppendixHeading3"/>
      <w:lvlText w:val="%1.%2.%3"/>
      <w:lvlJc w:val="left"/>
      <w:pPr>
        <w:ind w:left="1134" w:hanging="1134"/>
      </w:pPr>
      <w:rPr>
        <w:rFonts w:hint="default"/>
        <w:b w:val="0"/>
        <w:i w:val="0"/>
        <w:color w:val="00A2E2" w:themeColor="accent2"/>
        <w:sz w:val="26"/>
        <w:szCs w:val="28"/>
      </w:rPr>
    </w:lvl>
    <w:lvl w:ilvl="3">
      <w:start w:val="1"/>
      <w:numFmt w:val="none"/>
      <w:suff w:val="nothing"/>
      <w:lvlText w:val=""/>
      <w:lvlJc w:val="left"/>
      <w:pPr>
        <w:ind w:left="0" w:firstLine="0"/>
      </w:pPr>
      <w:rPr>
        <w:rFonts w:hint="default"/>
        <w:color w:val="25282A" w:themeColor="text2"/>
      </w:rPr>
    </w:lvl>
    <w:lvl w:ilvl="4">
      <w:start w:val="1"/>
      <w:numFmt w:val="none"/>
      <w:suff w:val="nothing"/>
      <w:lvlText w:val=""/>
      <w:lvlJc w:val="left"/>
      <w:pPr>
        <w:ind w:left="0" w:firstLine="0"/>
      </w:pPr>
      <w:rPr>
        <w:rFonts w:hint="default"/>
        <w:color w:val="25282A" w:themeColor="text2"/>
      </w:rPr>
    </w:lvl>
    <w:lvl w:ilvl="5">
      <w:start w:val="1"/>
      <w:numFmt w:val="none"/>
      <w:suff w:val="nothing"/>
      <w:lvlText w:val=""/>
      <w:lvlJc w:val="left"/>
      <w:pPr>
        <w:ind w:left="0" w:firstLine="0"/>
      </w:pPr>
      <w:rPr>
        <w:rFonts w:hint="default"/>
        <w:color w:val="25282A" w:themeColor="text2"/>
      </w:rPr>
    </w:lvl>
    <w:lvl w:ilvl="6">
      <w:start w:val="1"/>
      <w:numFmt w:val="none"/>
      <w:suff w:val="nothing"/>
      <w:lvlText w:val=""/>
      <w:lvlJc w:val="left"/>
      <w:pPr>
        <w:ind w:left="0" w:firstLine="0"/>
      </w:pPr>
      <w:rPr>
        <w:rFonts w:hint="default"/>
        <w:b w:val="0"/>
        <w:i w:val="0"/>
        <w:color w:val="1C4483" w:themeColor="accent1"/>
        <w:sz w:val="22"/>
      </w:rPr>
    </w:lvl>
    <w:lvl w:ilvl="7">
      <w:start w:val="1"/>
      <w:numFmt w:val="none"/>
      <w:suff w:val="nothing"/>
      <w:lvlText w:val=""/>
      <w:lvlJc w:val="left"/>
      <w:pPr>
        <w:ind w:left="0" w:firstLine="0"/>
      </w:pPr>
      <w:rPr>
        <w:rFonts w:hint="default"/>
        <w:b w:val="0"/>
        <w:i w:val="0"/>
        <w:color w:val="1C4483" w:themeColor="accent1"/>
        <w:sz w:val="22"/>
      </w:rPr>
    </w:lvl>
    <w:lvl w:ilvl="8">
      <w:start w:val="1"/>
      <w:numFmt w:val="none"/>
      <w:suff w:val="nothing"/>
      <w:lvlText w:val=""/>
      <w:lvlJc w:val="left"/>
      <w:pPr>
        <w:ind w:left="0" w:firstLine="0"/>
      </w:pPr>
      <w:rPr>
        <w:rFonts w:hint="default"/>
        <w:b w:val="0"/>
        <w:i w:val="0"/>
        <w:color w:val="1C4483" w:themeColor="accent1"/>
        <w:sz w:val="22"/>
      </w:rPr>
    </w:lvl>
  </w:abstractNum>
  <w:abstractNum w:abstractNumId="8" w15:restartNumberingAfterBreak="0">
    <w:nsid w:val="694B3042"/>
    <w:multiLevelType w:val="multilevel"/>
    <w:tmpl w:val="5F92E1F0"/>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1C4483" w:themeColor="accent1"/>
      </w:rPr>
    </w:lvl>
    <w:lvl w:ilvl="2">
      <w:start w:val="1"/>
      <w:numFmt w:val="lowerLetter"/>
      <w:lvlText w:val="%3"/>
      <w:lvlJc w:val="left"/>
      <w:pPr>
        <w:ind w:left="680" w:hanging="340"/>
      </w:pPr>
      <w:rPr>
        <w:rFonts w:hint="default"/>
        <w:color w:val="1C4483" w:themeColor="accent1"/>
      </w:rPr>
    </w:lvl>
    <w:lvl w:ilvl="3">
      <w:start w:val="1"/>
      <w:numFmt w:val="lowerRoman"/>
      <w:lvlText w:val="%4"/>
      <w:lvlJc w:val="left"/>
      <w:pPr>
        <w:ind w:left="1021" w:hanging="341"/>
      </w:pPr>
      <w:rPr>
        <w:rFonts w:hint="default"/>
        <w:color w:val="1C4483"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9" w15:restartNumberingAfterBreak="0">
    <w:nsid w:val="6FF67ADD"/>
    <w:multiLevelType w:val="multilevel"/>
    <w:tmpl w:val="EFD2FCCA"/>
    <w:lvl w:ilvl="0">
      <w:start w:val="1"/>
      <w:numFmt w:val="bullet"/>
      <w:pStyle w:val="BodyBullet1"/>
      <w:lvlText w:val=""/>
      <w:lvlJc w:val="left"/>
      <w:pPr>
        <w:ind w:left="340" w:hanging="340"/>
      </w:pPr>
      <w:rPr>
        <w:rFonts w:ascii="Symbol" w:hAnsi="Symbol" w:hint="default"/>
        <w:b w:val="0"/>
        <w:i w:val="0"/>
        <w:color w:val="1C4483" w:themeColor="accent1"/>
        <w:sz w:val="22"/>
      </w:rPr>
    </w:lvl>
    <w:lvl w:ilvl="1">
      <w:start w:val="1"/>
      <w:numFmt w:val="bullet"/>
      <w:pStyle w:val="BodyBullet2"/>
      <w:lvlText w:val="–"/>
      <w:lvlJc w:val="left"/>
      <w:pPr>
        <w:ind w:left="680" w:hanging="340"/>
      </w:pPr>
      <w:rPr>
        <w:rFonts w:hint="default"/>
        <w:b w:val="0"/>
        <w:i w:val="0"/>
        <w:color w:val="1C4483" w:themeColor="accent1"/>
        <w:sz w:val="22"/>
      </w:rPr>
    </w:lvl>
    <w:lvl w:ilvl="2">
      <w:start w:val="1"/>
      <w:numFmt w:val="bullet"/>
      <w:pStyle w:val="BodyBullet3"/>
      <w:lvlText w:val="-"/>
      <w:lvlJc w:val="left"/>
      <w:pPr>
        <w:ind w:left="1020" w:hanging="340"/>
      </w:pPr>
      <w:rPr>
        <w:rFonts w:hint="default"/>
        <w:b w:val="0"/>
        <w:i w:val="0"/>
        <w:color w:val="1C4483" w:themeColor="accent1"/>
        <w:sz w:val="22"/>
        <w:szCs w:val="28"/>
      </w:rPr>
    </w:lvl>
    <w:lvl w:ilvl="3">
      <w:start w:val="1"/>
      <w:numFmt w:val="none"/>
      <w:lvlRestart w:val="0"/>
      <w:suff w:val="nothing"/>
      <w:lvlText w:val=""/>
      <w:lvlJc w:val="left"/>
      <w:pPr>
        <w:ind w:left="0" w:firstLine="0"/>
      </w:pPr>
      <w:rPr>
        <w:rFonts w:hint="default"/>
        <w:color w:val="000000" w:themeColor="text1"/>
      </w:rPr>
    </w:lvl>
    <w:lvl w:ilvl="4">
      <w:start w:val="1"/>
      <w:numFmt w:val="none"/>
      <w:lvlRestart w:val="0"/>
      <w:suff w:val="nothing"/>
      <w:lvlText w:val=""/>
      <w:lvlJc w:val="left"/>
      <w:pPr>
        <w:ind w:left="0" w:firstLine="0"/>
      </w:pPr>
      <w:rPr>
        <w:rFonts w:hint="default"/>
        <w:color w:val="000000" w:themeColor="text1"/>
      </w:rPr>
    </w:lvl>
    <w:lvl w:ilvl="5">
      <w:start w:val="1"/>
      <w:numFmt w:val="none"/>
      <w:lvlRestart w:val="0"/>
      <w:suff w:val="nothing"/>
      <w:lvlText w:val=""/>
      <w:lvlJc w:val="left"/>
      <w:pPr>
        <w:ind w:left="0" w:firstLine="0"/>
      </w:pPr>
      <w:rPr>
        <w:rFonts w:hint="default"/>
        <w:color w:val="000000" w:themeColor="text1"/>
      </w:rPr>
    </w:lvl>
    <w:lvl w:ilvl="6">
      <w:start w:val="1"/>
      <w:numFmt w:val="none"/>
      <w:suff w:val="nothing"/>
      <w:lvlText w:val=""/>
      <w:lvlJc w:val="left"/>
      <w:pPr>
        <w:ind w:left="0" w:firstLine="0"/>
      </w:pPr>
      <w:rPr>
        <w:rFonts w:hint="default"/>
        <w:color w:val="1C4483"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10" w15:restartNumberingAfterBreak="0">
    <w:nsid w:val="70733DBF"/>
    <w:multiLevelType w:val="multilevel"/>
    <w:tmpl w:val="524E0DFA"/>
    <w:lvl w:ilvl="0">
      <w:start w:val="2"/>
      <w:numFmt w:val="decimal"/>
      <w:pStyle w:val="Heading1"/>
      <w:lvlText w:val="%1"/>
      <w:lvlJc w:val="left"/>
      <w:pPr>
        <w:tabs>
          <w:tab w:val="num" w:pos="284"/>
        </w:tabs>
        <w:ind w:left="1134" w:hanging="1134"/>
      </w:pPr>
      <w:rPr>
        <w:rFonts w:asciiTheme="majorHAnsi" w:hAnsiTheme="majorHAnsi" w:hint="default"/>
        <w:color w:val="auto"/>
      </w:rPr>
    </w:lvl>
    <w:lvl w:ilvl="1">
      <w:start w:val="1"/>
      <w:numFmt w:val="decimal"/>
      <w:pStyle w:val="Heading2"/>
      <w:lvlText w:val="%1.%2"/>
      <w:lvlJc w:val="left"/>
      <w:pPr>
        <w:tabs>
          <w:tab w:val="num" w:pos="1134"/>
        </w:tabs>
        <w:ind w:left="1134" w:hanging="1134"/>
      </w:pPr>
      <w:rPr>
        <w:rFonts w:asciiTheme="majorHAnsi" w:hAnsiTheme="majorHAnsi" w:hint="default"/>
        <w:color w:val="1C4483" w:themeColor="accent1"/>
      </w:rPr>
    </w:lvl>
    <w:lvl w:ilvl="2">
      <w:start w:val="1"/>
      <w:numFmt w:val="decimal"/>
      <w:pStyle w:val="Heading3"/>
      <w:lvlText w:val="%1.%2.%3"/>
      <w:lvlJc w:val="left"/>
      <w:pPr>
        <w:tabs>
          <w:tab w:val="num" w:pos="1701"/>
        </w:tabs>
        <w:ind w:left="1701" w:hanging="1701"/>
      </w:pPr>
      <w:rPr>
        <w:rFonts w:asciiTheme="majorHAnsi" w:hAnsiTheme="majorHAnsi" w:hint="default"/>
        <w:color w:val="1C4483" w:themeColor="accent1"/>
      </w:rPr>
    </w:lvl>
    <w:lvl w:ilvl="3">
      <w:start w:val="1"/>
      <w:numFmt w:val="none"/>
      <w:lvlRestart w:val="0"/>
      <w:suff w:val="nothing"/>
      <w:lvlText w:val=""/>
      <w:lvlJc w:val="left"/>
      <w:pPr>
        <w:ind w:left="0" w:firstLine="0"/>
      </w:pPr>
      <w:rPr>
        <w:rFonts w:asciiTheme="majorHAnsi" w:hAnsiTheme="majorHAnsi" w:hint="default"/>
        <w:color w:val="00A2E2" w:themeColor="accent2"/>
      </w:rPr>
    </w:lvl>
    <w:lvl w:ilvl="4">
      <w:start w:val="1"/>
      <w:numFmt w:val="none"/>
      <w:suff w:val="nothing"/>
      <w:lvlText w:val=""/>
      <w:lvlJc w:val="left"/>
      <w:pPr>
        <w:ind w:left="0" w:firstLine="0"/>
      </w:pPr>
      <w:rPr>
        <w:rFonts w:asciiTheme="majorHAnsi" w:hAnsiTheme="majorHAnsi" w:hint="default"/>
        <w:color w:val="25282A" w:themeColor="text2"/>
      </w:rPr>
    </w:lvl>
    <w:lvl w:ilvl="5">
      <w:start w:val="1"/>
      <w:numFmt w:val="none"/>
      <w:suff w:val="nothing"/>
      <w:lvlText w:val=""/>
      <w:lvlJc w:val="left"/>
      <w:pPr>
        <w:ind w:left="0" w:firstLine="0"/>
      </w:pPr>
      <w:rPr>
        <w:rFonts w:asciiTheme="majorHAnsi" w:hAnsiTheme="majorHAnsi" w:hint="default"/>
        <w:color w:val="25282A" w:themeColor="text2"/>
      </w:rPr>
    </w:lvl>
    <w:lvl w:ilvl="6">
      <w:start w:val="1"/>
      <w:numFmt w:val="decimal"/>
      <w:lvlText w:val="%7"/>
      <w:lvlJc w:val="left"/>
      <w:pPr>
        <w:ind w:left="340" w:hanging="340"/>
      </w:pPr>
      <w:rPr>
        <w:rFonts w:asciiTheme="minorHAnsi" w:hAnsiTheme="minorHAnsi" w:hint="default"/>
        <w:color w:val="25282A" w:themeColor="text2"/>
      </w:rPr>
    </w:lvl>
    <w:lvl w:ilvl="7">
      <w:start w:val="6"/>
      <w:numFmt w:val="lowerLetter"/>
      <w:lvlText w:val="%8"/>
      <w:lvlJc w:val="left"/>
      <w:pPr>
        <w:ind w:left="680" w:hanging="340"/>
      </w:pPr>
      <w:rPr>
        <w:rFonts w:asciiTheme="minorHAnsi" w:hAnsiTheme="minorHAnsi" w:hint="default"/>
        <w:color w:val="25282A" w:themeColor="text2"/>
      </w:rPr>
    </w:lvl>
    <w:lvl w:ilvl="8">
      <w:start w:val="1"/>
      <w:numFmt w:val="lowerRoman"/>
      <w:lvlText w:val="%9"/>
      <w:lvlJc w:val="right"/>
      <w:pPr>
        <w:ind w:left="1021" w:hanging="284"/>
      </w:pPr>
      <w:rPr>
        <w:rFonts w:hint="default"/>
        <w:color w:val="25282A" w:themeColor="text2"/>
      </w:rPr>
    </w:lvl>
  </w:abstractNum>
  <w:num w:numId="1">
    <w:abstractNumId w:val="10"/>
  </w:num>
  <w:num w:numId="2">
    <w:abstractNumId w:val="7"/>
  </w:num>
  <w:num w:numId="3">
    <w:abstractNumId w:val="9"/>
  </w:num>
  <w:num w:numId="4">
    <w:abstractNumId w:val="5"/>
  </w:num>
  <w:num w:numId="5">
    <w:abstractNumId w:val="4"/>
  </w:num>
  <w:num w:numId="6">
    <w:abstractNumId w:val="2"/>
  </w:num>
  <w:num w:numId="7">
    <w:abstractNumId w:val="1"/>
  </w:num>
  <w:num w:numId="8">
    <w:abstractNumId w:val="0"/>
  </w:num>
  <w:num w:numId="9">
    <w:abstractNumId w:val="3"/>
  </w:num>
  <w:num w:numId="10">
    <w:abstractNumId w:val="8"/>
  </w:num>
  <w:num w:numId="1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proofState w:spelling="clean" w:grammar="clean"/>
  <w:attachedTemplate r:id="rId1"/>
  <w:stylePaneSortMethod w:val="0000"/>
  <w:documentProtection w:formatting="1" w:enforcement="1"/>
  <w:styleLockTheme/>
  <w:defaultTabStop w:val="720"/>
  <w:evenAndOddHeader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3D8"/>
    <w:rsid w:val="000004DB"/>
    <w:rsid w:val="0000062A"/>
    <w:rsid w:val="0000066F"/>
    <w:rsid w:val="00002B5C"/>
    <w:rsid w:val="00003622"/>
    <w:rsid w:val="00013050"/>
    <w:rsid w:val="00013139"/>
    <w:rsid w:val="00013C24"/>
    <w:rsid w:val="00014A01"/>
    <w:rsid w:val="00016F19"/>
    <w:rsid w:val="00017047"/>
    <w:rsid w:val="000207CF"/>
    <w:rsid w:val="000208B9"/>
    <w:rsid w:val="00021CEC"/>
    <w:rsid w:val="00023787"/>
    <w:rsid w:val="00025963"/>
    <w:rsid w:val="000267FC"/>
    <w:rsid w:val="0002715B"/>
    <w:rsid w:val="00027A10"/>
    <w:rsid w:val="00027AFC"/>
    <w:rsid w:val="00030198"/>
    <w:rsid w:val="000303C6"/>
    <w:rsid w:val="0003047D"/>
    <w:rsid w:val="00033D63"/>
    <w:rsid w:val="00035088"/>
    <w:rsid w:val="000359BB"/>
    <w:rsid w:val="00035CE2"/>
    <w:rsid w:val="00036C14"/>
    <w:rsid w:val="00037D07"/>
    <w:rsid w:val="0004094D"/>
    <w:rsid w:val="00041D9C"/>
    <w:rsid w:val="00044695"/>
    <w:rsid w:val="00045C28"/>
    <w:rsid w:val="00046089"/>
    <w:rsid w:val="0004776D"/>
    <w:rsid w:val="00047F4F"/>
    <w:rsid w:val="00050AF0"/>
    <w:rsid w:val="00050B64"/>
    <w:rsid w:val="00053ED4"/>
    <w:rsid w:val="0005514C"/>
    <w:rsid w:val="000575A9"/>
    <w:rsid w:val="00060706"/>
    <w:rsid w:val="000639E5"/>
    <w:rsid w:val="00063EED"/>
    <w:rsid w:val="00064639"/>
    <w:rsid w:val="000653C7"/>
    <w:rsid w:val="00065452"/>
    <w:rsid w:val="00066510"/>
    <w:rsid w:val="00070A2B"/>
    <w:rsid w:val="00071DE1"/>
    <w:rsid w:val="00072977"/>
    <w:rsid w:val="00075157"/>
    <w:rsid w:val="0007561D"/>
    <w:rsid w:val="0007669C"/>
    <w:rsid w:val="00077500"/>
    <w:rsid w:val="00080123"/>
    <w:rsid w:val="000801AC"/>
    <w:rsid w:val="00081694"/>
    <w:rsid w:val="00081ED6"/>
    <w:rsid w:val="00083077"/>
    <w:rsid w:val="00086335"/>
    <w:rsid w:val="00087408"/>
    <w:rsid w:val="000874F9"/>
    <w:rsid w:val="00090AA3"/>
    <w:rsid w:val="00092C0D"/>
    <w:rsid w:val="00093082"/>
    <w:rsid w:val="000934F7"/>
    <w:rsid w:val="00095E7F"/>
    <w:rsid w:val="000A247E"/>
    <w:rsid w:val="000A2DFD"/>
    <w:rsid w:val="000A300D"/>
    <w:rsid w:val="000A4DFB"/>
    <w:rsid w:val="000A554C"/>
    <w:rsid w:val="000A559E"/>
    <w:rsid w:val="000A5911"/>
    <w:rsid w:val="000A5951"/>
    <w:rsid w:val="000A661C"/>
    <w:rsid w:val="000B13D8"/>
    <w:rsid w:val="000B585C"/>
    <w:rsid w:val="000B5B9F"/>
    <w:rsid w:val="000B5D48"/>
    <w:rsid w:val="000B5E5D"/>
    <w:rsid w:val="000B7555"/>
    <w:rsid w:val="000C0031"/>
    <w:rsid w:val="000C09F6"/>
    <w:rsid w:val="000C2020"/>
    <w:rsid w:val="000C2DBD"/>
    <w:rsid w:val="000C3E7B"/>
    <w:rsid w:val="000C4409"/>
    <w:rsid w:val="000C59DE"/>
    <w:rsid w:val="000C5AB3"/>
    <w:rsid w:val="000C6688"/>
    <w:rsid w:val="000C739C"/>
    <w:rsid w:val="000C7A90"/>
    <w:rsid w:val="000D16A5"/>
    <w:rsid w:val="000D255B"/>
    <w:rsid w:val="000D2FD7"/>
    <w:rsid w:val="000D3A6C"/>
    <w:rsid w:val="000D4CE8"/>
    <w:rsid w:val="000D7A29"/>
    <w:rsid w:val="000D7AFD"/>
    <w:rsid w:val="000D7CAF"/>
    <w:rsid w:val="000E0829"/>
    <w:rsid w:val="000E0B71"/>
    <w:rsid w:val="000E0D55"/>
    <w:rsid w:val="000E0DC4"/>
    <w:rsid w:val="000E1DAB"/>
    <w:rsid w:val="000E1F0E"/>
    <w:rsid w:val="000E2483"/>
    <w:rsid w:val="000E5D64"/>
    <w:rsid w:val="000E6AD4"/>
    <w:rsid w:val="000E6DB6"/>
    <w:rsid w:val="000E73CC"/>
    <w:rsid w:val="000E7A0C"/>
    <w:rsid w:val="000F060A"/>
    <w:rsid w:val="000F0A26"/>
    <w:rsid w:val="000F0CDA"/>
    <w:rsid w:val="000F1A47"/>
    <w:rsid w:val="000F2147"/>
    <w:rsid w:val="000F2552"/>
    <w:rsid w:val="000F2617"/>
    <w:rsid w:val="000F2A6C"/>
    <w:rsid w:val="000F3515"/>
    <w:rsid w:val="000F42C0"/>
    <w:rsid w:val="000F43BE"/>
    <w:rsid w:val="000F5477"/>
    <w:rsid w:val="000F6123"/>
    <w:rsid w:val="000F65AF"/>
    <w:rsid w:val="00101653"/>
    <w:rsid w:val="001028DC"/>
    <w:rsid w:val="00103580"/>
    <w:rsid w:val="00103A4A"/>
    <w:rsid w:val="00104D67"/>
    <w:rsid w:val="001078E8"/>
    <w:rsid w:val="00111EAA"/>
    <w:rsid w:val="001130DB"/>
    <w:rsid w:val="00114DD9"/>
    <w:rsid w:val="001152EA"/>
    <w:rsid w:val="0011570F"/>
    <w:rsid w:val="00116DDF"/>
    <w:rsid w:val="00117B0A"/>
    <w:rsid w:val="00120813"/>
    <w:rsid w:val="00120DF1"/>
    <w:rsid w:val="00121482"/>
    <w:rsid w:val="00122FCC"/>
    <w:rsid w:val="00123162"/>
    <w:rsid w:val="001234E9"/>
    <w:rsid w:val="001240B9"/>
    <w:rsid w:val="00124A1C"/>
    <w:rsid w:val="0012791D"/>
    <w:rsid w:val="00130832"/>
    <w:rsid w:val="001320D7"/>
    <w:rsid w:val="0013218F"/>
    <w:rsid w:val="001331C9"/>
    <w:rsid w:val="00141296"/>
    <w:rsid w:val="00142291"/>
    <w:rsid w:val="001432E2"/>
    <w:rsid w:val="00144BBA"/>
    <w:rsid w:val="0014525F"/>
    <w:rsid w:val="00145593"/>
    <w:rsid w:val="001472CB"/>
    <w:rsid w:val="00147E56"/>
    <w:rsid w:val="00150F46"/>
    <w:rsid w:val="00153351"/>
    <w:rsid w:val="00153CF5"/>
    <w:rsid w:val="00154D7C"/>
    <w:rsid w:val="00157215"/>
    <w:rsid w:val="001574D4"/>
    <w:rsid w:val="00157ECB"/>
    <w:rsid w:val="00160911"/>
    <w:rsid w:val="001618C4"/>
    <w:rsid w:val="0016224B"/>
    <w:rsid w:val="00163CED"/>
    <w:rsid w:val="00164BA6"/>
    <w:rsid w:val="001668AB"/>
    <w:rsid w:val="00171E9F"/>
    <w:rsid w:val="00172168"/>
    <w:rsid w:val="00172886"/>
    <w:rsid w:val="00173811"/>
    <w:rsid w:val="00174337"/>
    <w:rsid w:val="00174C76"/>
    <w:rsid w:val="00174E12"/>
    <w:rsid w:val="00175B24"/>
    <w:rsid w:val="001775A3"/>
    <w:rsid w:val="0018114B"/>
    <w:rsid w:val="00181925"/>
    <w:rsid w:val="00181A7E"/>
    <w:rsid w:val="001839A1"/>
    <w:rsid w:val="00186FB1"/>
    <w:rsid w:val="00192972"/>
    <w:rsid w:val="00192F51"/>
    <w:rsid w:val="00193939"/>
    <w:rsid w:val="0019472B"/>
    <w:rsid w:val="0019593B"/>
    <w:rsid w:val="00196EC8"/>
    <w:rsid w:val="001976D2"/>
    <w:rsid w:val="00197EFB"/>
    <w:rsid w:val="001A181E"/>
    <w:rsid w:val="001A284A"/>
    <w:rsid w:val="001A3181"/>
    <w:rsid w:val="001A4CC3"/>
    <w:rsid w:val="001A75E1"/>
    <w:rsid w:val="001A76AF"/>
    <w:rsid w:val="001B1A0A"/>
    <w:rsid w:val="001B30F7"/>
    <w:rsid w:val="001B4565"/>
    <w:rsid w:val="001B4DF5"/>
    <w:rsid w:val="001B515C"/>
    <w:rsid w:val="001B71C6"/>
    <w:rsid w:val="001B7703"/>
    <w:rsid w:val="001C1A26"/>
    <w:rsid w:val="001C1E5B"/>
    <w:rsid w:val="001C31E6"/>
    <w:rsid w:val="001C45FF"/>
    <w:rsid w:val="001C5EC2"/>
    <w:rsid w:val="001C6171"/>
    <w:rsid w:val="001D14F4"/>
    <w:rsid w:val="001D15FC"/>
    <w:rsid w:val="001D25DA"/>
    <w:rsid w:val="001D3B17"/>
    <w:rsid w:val="001D3B9E"/>
    <w:rsid w:val="001D5299"/>
    <w:rsid w:val="001D5F37"/>
    <w:rsid w:val="001D6464"/>
    <w:rsid w:val="001D6F2D"/>
    <w:rsid w:val="001E013A"/>
    <w:rsid w:val="001E11E4"/>
    <w:rsid w:val="001E128F"/>
    <w:rsid w:val="001E2899"/>
    <w:rsid w:val="001E2ADE"/>
    <w:rsid w:val="001E4DEF"/>
    <w:rsid w:val="001E7FC7"/>
    <w:rsid w:val="001F1C5C"/>
    <w:rsid w:val="001F38E8"/>
    <w:rsid w:val="001F3F88"/>
    <w:rsid w:val="001F4DC3"/>
    <w:rsid w:val="001F5585"/>
    <w:rsid w:val="001F571B"/>
    <w:rsid w:val="001F64AB"/>
    <w:rsid w:val="001F6DF9"/>
    <w:rsid w:val="001F76EB"/>
    <w:rsid w:val="002021BF"/>
    <w:rsid w:val="00204A6F"/>
    <w:rsid w:val="00204EE2"/>
    <w:rsid w:val="00207206"/>
    <w:rsid w:val="0020772C"/>
    <w:rsid w:val="00207FB7"/>
    <w:rsid w:val="00210C1C"/>
    <w:rsid w:val="00212BA8"/>
    <w:rsid w:val="00213233"/>
    <w:rsid w:val="00213EDF"/>
    <w:rsid w:val="00217987"/>
    <w:rsid w:val="00220CDD"/>
    <w:rsid w:val="0022117D"/>
    <w:rsid w:val="00222DEB"/>
    <w:rsid w:val="00224E65"/>
    <w:rsid w:val="00225140"/>
    <w:rsid w:val="0023045C"/>
    <w:rsid w:val="00230CF8"/>
    <w:rsid w:val="00231721"/>
    <w:rsid w:val="002331E5"/>
    <w:rsid w:val="00236DE0"/>
    <w:rsid w:val="00237A77"/>
    <w:rsid w:val="00240B1A"/>
    <w:rsid w:val="0024199C"/>
    <w:rsid w:val="0024419D"/>
    <w:rsid w:val="0024669A"/>
    <w:rsid w:val="00247065"/>
    <w:rsid w:val="002500AE"/>
    <w:rsid w:val="0025023D"/>
    <w:rsid w:val="00253B4A"/>
    <w:rsid w:val="0025542C"/>
    <w:rsid w:val="002561AD"/>
    <w:rsid w:val="002569ED"/>
    <w:rsid w:val="0025787E"/>
    <w:rsid w:val="002609FD"/>
    <w:rsid w:val="00261F88"/>
    <w:rsid w:val="00265073"/>
    <w:rsid w:val="00267445"/>
    <w:rsid w:val="0026757E"/>
    <w:rsid w:val="0027245C"/>
    <w:rsid w:val="002741E1"/>
    <w:rsid w:val="00277ABE"/>
    <w:rsid w:val="00277AF5"/>
    <w:rsid w:val="002811F9"/>
    <w:rsid w:val="00281BBF"/>
    <w:rsid w:val="00282B57"/>
    <w:rsid w:val="00283B87"/>
    <w:rsid w:val="002867A7"/>
    <w:rsid w:val="00290210"/>
    <w:rsid w:val="00292D2A"/>
    <w:rsid w:val="00292E8D"/>
    <w:rsid w:val="00292FEF"/>
    <w:rsid w:val="0029345C"/>
    <w:rsid w:val="00294420"/>
    <w:rsid w:val="00294449"/>
    <w:rsid w:val="00294914"/>
    <w:rsid w:val="0029614E"/>
    <w:rsid w:val="002A007D"/>
    <w:rsid w:val="002A05B1"/>
    <w:rsid w:val="002A1523"/>
    <w:rsid w:val="002A4AF1"/>
    <w:rsid w:val="002A6F1A"/>
    <w:rsid w:val="002B282F"/>
    <w:rsid w:val="002B488F"/>
    <w:rsid w:val="002B4B77"/>
    <w:rsid w:val="002B65E9"/>
    <w:rsid w:val="002B6EF0"/>
    <w:rsid w:val="002B79AF"/>
    <w:rsid w:val="002C1713"/>
    <w:rsid w:val="002C2990"/>
    <w:rsid w:val="002C2B94"/>
    <w:rsid w:val="002C555F"/>
    <w:rsid w:val="002C57BC"/>
    <w:rsid w:val="002C762B"/>
    <w:rsid w:val="002D127A"/>
    <w:rsid w:val="002D1CB1"/>
    <w:rsid w:val="002D2130"/>
    <w:rsid w:val="002D22B9"/>
    <w:rsid w:val="002D27B5"/>
    <w:rsid w:val="002D2E07"/>
    <w:rsid w:val="002D310F"/>
    <w:rsid w:val="002D3A61"/>
    <w:rsid w:val="002D6BA2"/>
    <w:rsid w:val="002D7F26"/>
    <w:rsid w:val="002E0392"/>
    <w:rsid w:val="002E0987"/>
    <w:rsid w:val="002E1839"/>
    <w:rsid w:val="002E2BC7"/>
    <w:rsid w:val="002E3267"/>
    <w:rsid w:val="002E3E20"/>
    <w:rsid w:val="002E4C32"/>
    <w:rsid w:val="002E6F57"/>
    <w:rsid w:val="002E72D7"/>
    <w:rsid w:val="002F098F"/>
    <w:rsid w:val="002F12AE"/>
    <w:rsid w:val="002F160A"/>
    <w:rsid w:val="002F1FFE"/>
    <w:rsid w:val="002F2808"/>
    <w:rsid w:val="002F30E8"/>
    <w:rsid w:val="002F4279"/>
    <w:rsid w:val="002F4504"/>
    <w:rsid w:val="002F4826"/>
    <w:rsid w:val="00302352"/>
    <w:rsid w:val="00302B94"/>
    <w:rsid w:val="00302F49"/>
    <w:rsid w:val="00304ADE"/>
    <w:rsid w:val="00305B07"/>
    <w:rsid w:val="003103FD"/>
    <w:rsid w:val="003108F5"/>
    <w:rsid w:val="003109B3"/>
    <w:rsid w:val="00312040"/>
    <w:rsid w:val="0031364F"/>
    <w:rsid w:val="00313C80"/>
    <w:rsid w:val="00315FBA"/>
    <w:rsid w:val="00316165"/>
    <w:rsid w:val="00320991"/>
    <w:rsid w:val="00320D25"/>
    <w:rsid w:val="00321B47"/>
    <w:rsid w:val="00322966"/>
    <w:rsid w:val="00322BFF"/>
    <w:rsid w:val="00323E9D"/>
    <w:rsid w:val="0032592C"/>
    <w:rsid w:val="00333151"/>
    <w:rsid w:val="0033435B"/>
    <w:rsid w:val="00335809"/>
    <w:rsid w:val="0033585A"/>
    <w:rsid w:val="003365C1"/>
    <w:rsid w:val="0033751A"/>
    <w:rsid w:val="00340835"/>
    <w:rsid w:val="00341E0F"/>
    <w:rsid w:val="00342B0F"/>
    <w:rsid w:val="00344BFD"/>
    <w:rsid w:val="003461B7"/>
    <w:rsid w:val="003472A5"/>
    <w:rsid w:val="003476C0"/>
    <w:rsid w:val="003504E7"/>
    <w:rsid w:val="003524A6"/>
    <w:rsid w:val="00352AA4"/>
    <w:rsid w:val="00352EA5"/>
    <w:rsid w:val="003530E6"/>
    <w:rsid w:val="00353BBB"/>
    <w:rsid w:val="003547C0"/>
    <w:rsid w:val="00355BCD"/>
    <w:rsid w:val="00355C68"/>
    <w:rsid w:val="00355FA4"/>
    <w:rsid w:val="003565B0"/>
    <w:rsid w:val="00356F63"/>
    <w:rsid w:val="003602D7"/>
    <w:rsid w:val="0036083B"/>
    <w:rsid w:val="00360B53"/>
    <w:rsid w:val="003634E5"/>
    <w:rsid w:val="00364DB7"/>
    <w:rsid w:val="0036633D"/>
    <w:rsid w:val="00367B9F"/>
    <w:rsid w:val="00370C55"/>
    <w:rsid w:val="003727C6"/>
    <w:rsid w:val="003759DA"/>
    <w:rsid w:val="00376061"/>
    <w:rsid w:val="0037677C"/>
    <w:rsid w:val="00377F14"/>
    <w:rsid w:val="0038031B"/>
    <w:rsid w:val="00380F3F"/>
    <w:rsid w:val="00382441"/>
    <w:rsid w:val="00383BEB"/>
    <w:rsid w:val="0038594D"/>
    <w:rsid w:val="0038608D"/>
    <w:rsid w:val="003872D9"/>
    <w:rsid w:val="00387F36"/>
    <w:rsid w:val="00390A09"/>
    <w:rsid w:val="00390E2D"/>
    <w:rsid w:val="00393047"/>
    <w:rsid w:val="0039754E"/>
    <w:rsid w:val="003975FE"/>
    <w:rsid w:val="003A004E"/>
    <w:rsid w:val="003A3039"/>
    <w:rsid w:val="003A3A68"/>
    <w:rsid w:val="003A4B1E"/>
    <w:rsid w:val="003A5B3B"/>
    <w:rsid w:val="003B1121"/>
    <w:rsid w:val="003B21EE"/>
    <w:rsid w:val="003B2660"/>
    <w:rsid w:val="003B2B7C"/>
    <w:rsid w:val="003B34B4"/>
    <w:rsid w:val="003B6648"/>
    <w:rsid w:val="003C1A84"/>
    <w:rsid w:val="003C299F"/>
    <w:rsid w:val="003C3AC2"/>
    <w:rsid w:val="003C5558"/>
    <w:rsid w:val="003C69CA"/>
    <w:rsid w:val="003C7278"/>
    <w:rsid w:val="003C7558"/>
    <w:rsid w:val="003D10B7"/>
    <w:rsid w:val="003D266F"/>
    <w:rsid w:val="003D303F"/>
    <w:rsid w:val="003D5163"/>
    <w:rsid w:val="003D58A0"/>
    <w:rsid w:val="003D71C8"/>
    <w:rsid w:val="003D7E5A"/>
    <w:rsid w:val="003D7F9A"/>
    <w:rsid w:val="003E1380"/>
    <w:rsid w:val="003E15AE"/>
    <w:rsid w:val="003E1CBD"/>
    <w:rsid w:val="003E1E02"/>
    <w:rsid w:val="003E25E8"/>
    <w:rsid w:val="003E2895"/>
    <w:rsid w:val="003E7893"/>
    <w:rsid w:val="003F1650"/>
    <w:rsid w:val="003F1CA7"/>
    <w:rsid w:val="003F420F"/>
    <w:rsid w:val="003F47AB"/>
    <w:rsid w:val="003F6A1C"/>
    <w:rsid w:val="003F7E5E"/>
    <w:rsid w:val="00402D0A"/>
    <w:rsid w:val="00402D84"/>
    <w:rsid w:val="0040469E"/>
    <w:rsid w:val="00405331"/>
    <w:rsid w:val="00406CA3"/>
    <w:rsid w:val="00406CDC"/>
    <w:rsid w:val="004152F1"/>
    <w:rsid w:val="00417252"/>
    <w:rsid w:val="00417616"/>
    <w:rsid w:val="0042028C"/>
    <w:rsid w:val="0042310B"/>
    <w:rsid w:val="004242AE"/>
    <w:rsid w:val="00424A7C"/>
    <w:rsid w:val="004257FC"/>
    <w:rsid w:val="00426DFE"/>
    <w:rsid w:val="00432957"/>
    <w:rsid w:val="00440427"/>
    <w:rsid w:val="00443EA8"/>
    <w:rsid w:val="00444EF7"/>
    <w:rsid w:val="00445489"/>
    <w:rsid w:val="004466F3"/>
    <w:rsid w:val="00446849"/>
    <w:rsid w:val="00446F27"/>
    <w:rsid w:val="00446F35"/>
    <w:rsid w:val="00447695"/>
    <w:rsid w:val="0044779F"/>
    <w:rsid w:val="00450B88"/>
    <w:rsid w:val="00452575"/>
    <w:rsid w:val="00455F4F"/>
    <w:rsid w:val="00456204"/>
    <w:rsid w:val="00457498"/>
    <w:rsid w:val="00457CD2"/>
    <w:rsid w:val="00462270"/>
    <w:rsid w:val="00463E1E"/>
    <w:rsid w:val="00464C87"/>
    <w:rsid w:val="004655E6"/>
    <w:rsid w:val="004663FB"/>
    <w:rsid w:val="0046681A"/>
    <w:rsid w:val="00467474"/>
    <w:rsid w:val="004700A2"/>
    <w:rsid w:val="004733D1"/>
    <w:rsid w:val="0047403B"/>
    <w:rsid w:val="00477850"/>
    <w:rsid w:val="00477CEE"/>
    <w:rsid w:val="00477E3F"/>
    <w:rsid w:val="00481FDD"/>
    <w:rsid w:val="00483363"/>
    <w:rsid w:val="004837F4"/>
    <w:rsid w:val="004839C6"/>
    <w:rsid w:val="00483C20"/>
    <w:rsid w:val="00485503"/>
    <w:rsid w:val="0048580D"/>
    <w:rsid w:val="00485C9D"/>
    <w:rsid w:val="00486F0E"/>
    <w:rsid w:val="00487846"/>
    <w:rsid w:val="00490C99"/>
    <w:rsid w:val="00490F7E"/>
    <w:rsid w:val="004927EE"/>
    <w:rsid w:val="00495B17"/>
    <w:rsid w:val="00497842"/>
    <w:rsid w:val="00497B4B"/>
    <w:rsid w:val="004A0138"/>
    <w:rsid w:val="004A1537"/>
    <w:rsid w:val="004A1755"/>
    <w:rsid w:val="004A1A93"/>
    <w:rsid w:val="004A25A9"/>
    <w:rsid w:val="004A32BF"/>
    <w:rsid w:val="004A37B0"/>
    <w:rsid w:val="004A505C"/>
    <w:rsid w:val="004A55F8"/>
    <w:rsid w:val="004A71F6"/>
    <w:rsid w:val="004A7EF9"/>
    <w:rsid w:val="004B02C2"/>
    <w:rsid w:val="004B09E7"/>
    <w:rsid w:val="004B2D9C"/>
    <w:rsid w:val="004B3C86"/>
    <w:rsid w:val="004B4494"/>
    <w:rsid w:val="004B5969"/>
    <w:rsid w:val="004B5C98"/>
    <w:rsid w:val="004B6535"/>
    <w:rsid w:val="004B6B78"/>
    <w:rsid w:val="004C02F1"/>
    <w:rsid w:val="004C1CD1"/>
    <w:rsid w:val="004C3157"/>
    <w:rsid w:val="004C3C0E"/>
    <w:rsid w:val="004C4831"/>
    <w:rsid w:val="004C5028"/>
    <w:rsid w:val="004C6EBF"/>
    <w:rsid w:val="004C72D8"/>
    <w:rsid w:val="004C7931"/>
    <w:rsid w:val="004D178C"/>
    <w:rsid w:val="004D49E7"/>
    <w:rsid w:val="004D5078"/>
    <w:rsid w:val="004D51DA"/>
    <w:rsid w:val="004D56AE"/>
    <w:rsid w:val="004D5DF5"/>
    <w:rsid w:val="004D7600"/>
    <w:rsid w:val="004E3A1F"/>
    <w:rsid w:val="004E593B"/>
    <w:rsid w:val="004F4EF2"/>
    <w:rsid w:val="004F6FF0"/>
    <w:rsid w:val="004F752A"/>
    <w:rsid w:val="004F7D42"/>
    <w:rsid w:val="005008FB"/>
    <w:rsid w:val="00501622"/>
    <w:rsid w:val="005023BD"/>
    <w:rsid w:val="0050448D"/>
    <w:rsid w:val="00504BC3"/>
    <w:rsid w:val="00505DE8"/>
    <w:rsid w:val="00506AF3"/>
    <w:rsid w:val="00507661"/>
    <w:rsid w:val="00512E76"/>
    <w:rsid w:val="00513B14"/>
    <w:rsid w:val="00514AD3"/>
    <w:rsid w:val="00514F08"/>
    <w:rsid w:val="005151D9"/>
    <w:rsid w:val="0051542F"/>
    <w:rsid w:val="00516263"/>
    <w:rsid w:val="00516E3C"/>
    <w:rsid w:val="00517673"/>
    <w:rsid w:val="005210AD"/>
    <w:rsid w:val="00521453"/>
    <w:rsid w:val="005217F5"/>
    <w:rsid w:val="00522A16"/>
    <w:rsid w:val="00522DC7"/>
    <w:rsid w:val="00523E7A"/>
    <w:rsid w:val="005248A1"/>
    <w:rsid w:val="005266EE"/>
    <w:rsid w:val="00526B45"/>
    <w:rsid w:val="00526CCC"/>
    <w:rsid w:val="0053069E"/>
    <w:rsid w:val="00530CE8"/>
    <w:rsid w:val="00532F18"/>
    <w:rsid w:val="00533A6E"/>
    <w:rsid w:val="00535128"/>
    <w:rsid w:val="005370F8"/>
    <w:rsid w:val="00540437"/>
    <w:rsid w:val="00541C86"/>
    <w:rsid w:val="00541CA7"/>
    <w:rsid w:val="005437A0"/>
    <w:rsid w:val="005445C3"/>
    <w:rsid w:val="0054639F"/>
    <w:rsid w:val="005469E6"/>
    <w:rsid w:val="00546B28"/>
    <w:rsid w:val="00546C0D"/>
    <w:rsid w:val="005479BA"/>
    <w:rsid w:val="005502DF"/>
    <w:rsid w:val="0055118E"/>
    <w:rsid w:val="00553022"/>
    <w:rsid w:val="00560C70"/>
    <w:rsid w:val="0056128E"/>
    <w:rsid w:val="00561EE9"/>
    <w:rsid w:val="00562578"/>
    <w:rsid w:val="00564ED5"/>
    <w:rsid w:val="005667A7"/>
    <w:rsid w:val="00566DA3"/>
    <w:rsid w:val="005709F4"/>
    <w:rsid w:val="00571F86"/>
    <w:rsid w:val="005726F5"/>
    <w:rsid w:val="00574769"/>
    <w:rsid w:val="005769EB"/>
    <w:rsid w:val="00577E17"/>
    <w:rsid w:val="005804B5"/>
    <w:rsid w:val="005816A0"/>
    <w:rsid w:val="0058235E"/>
    <w:rsid w:val="00582882"/>
    <w:rsid w:val="0058367C"/>
    <w:rsid w:val="00584114"/>
    <w:rsid w:val="0058559E"/>
    <w:rsid w:val="0059004B"/>
    <w:rsid w:val="00591C81"/>
    <w:rsid w:val="00592E52"/>
    <w:rsid w:val="00593B97"/>
    <w:rsid w:val="0059442A"/>
    <w:rsid w:val="0059670F"/>
    <w:rsid w:val="0059789D"/>
    <w:rsid w:val="00597F60"/>
    <w:rsid w:val="005A14CE"/>
    <w:rsid w:val="005A1C08"/>
    <w:rsid w:val="005A1F81"/>
    <w:rsid w:val="005A252A"/>
    <w:rsid w:val="005A3E8C"/>
    <w:rsid w:val="005A4ABD"/>
    <w:rsid w:val="005A4F3A"/>
    <w:rsid w:val="005A52E2"/>
    <w:rsid w:val="005A70AD"/>
    <w:rsid w:val="005B0BEC"/>
    <w:rsid w:val="005B0F2A"/>
    <w:rsid w:val="005B1AB0"/>
    <w:rsid w:val="005B2DF6"/>
    <w:rsid w:val="005B365B"/>
    <w:rsid w:val="005B4698"/>
    <w:rsid w:val="005B4A00"/>
    <w:rsid w:val="005B7E10"/>
    <w:rsid w:val="005C0108"/>
    <w:rsid w:val="005C0ABF"/>
    <w:rsid w:val="005C2F2C"/>
    <w:rsid w:val="005C38E1"/>
    <w:rsid w:val="005C3AB9"/>
    <w:rsid w:val="005C40D6"/>
    <w:rsid w:val="005C44B4"/>
    <w:rsid w:val="005C50AF"/>
    <w:rsid w:val="005C65BD"/>
    <w:rsid w:val="005D0C80"/>
    <w:rsid w:val="005D0F2D"/>
    <w:rsid w:val="005D1374"/>
    <w:rsid w:val="005D1392"/>
    <w:rsid w:val="005D1DBC"/>
    <w:rsid w:val="005D4B62"/>
    <w:rsid w:val="005D57B1"/>
    <w:rsid w:val="005D6F64"/>
    <w:rsid w:val="005D79B5"/>
    <w:rsid w:val="005E1010"/>
    <w:rsid w:val="005E3083"/>
    <w:rsid w:val="005E3F1B"/>
    <w:rsid w:val="005E4091"/>
    <w:rsid w:val="005E4B51"/>
    <w:rsid w:val="005F0552"/>
    <w:rsid w:val="005F06E7"/>
    <w:rsid w:val="005F21D1"/>
    <w:rsid w:val="005F4F6C"/>
    <w:rsid w:val="005F6D25"/>
    <w:rsid w:val="0060166E"/>
    <w:rsid w:val="00602630"/>
    <w:rsid w:val="00602D49"/>
    <w:rsid w:val="006032EB"/>
    <w:rsid w:val="00603A97"/>
    <w:rsid w:val="006041BF"/>
    <w:rsid w:val="0060421B"/>
    <w:rsid w:val="00606B19"/>
    <w:rsid w:val="006110CD"/>
    <w:rsid w:val="00611CDB"/>
    <w:rsid w:val="00614176"/>
    <w:rsid w:val="0061463E"/>
    <w:rsid w:val="00615C9A"/>
    <w:rsid w:val="006162DA"/>
    <w:rsid w:val="00616446"/>
    <w:rsid w:val="006165E2"/>
    <w:rsid w:val="006174CB"/>
    <w:rsid w:val="00617D69"/>
    <w:rsid w:val="00620023"/>
    <w:rsid w:val="00622B87"/>
    <w:rsid w:val="006234D0"/>
    <w:rsid w:val="00623BED"/>
    <w:rsid w:val="0062480D"/>
    <w:rsid w:val="006274A2"/>
    <w:rsid w:val="00632948"/>
    <w:rsid w:val="00634A6C"/>
    <w:rsid w:val="00635CCF"/>
    <w:rsid w:val="006406FD"/>
    <w:rsid w:val="00641308"/>
    <w:rsid w:val="0064197D"/>
    <w:rsid w:val="00644D15"/>
    <w:rsid w:val="00646BE7"/>
    <w:rsid w:val="00646ECA"/>
    <w:rsid w:val="00647CBE"/>
    <w:rsid w:val="006510D1"/>
    <w:rsid w:val="006515EA"/>
    <w:rsid w:val="006524A6"/>
    <w:rsid w:val="00653D67"/>
    <w:rsid w:val="00654459"/>
    <w:rsid w:val="00655CD5"/>
    <w:rsid w:val="0065700B"/>
    <w:rsid w:val="006607AB"/>
    <w:rsid w:val="006631EA"/>
    <w:rsid w:val="00663DFD"/>
    <w:rsid w:val="00663F1B"/>
    <w:rsid w:val="0066494C"/>
    <w:rsid w:val="00664BB6"/>
    <w:rsid w:val="00665069"/>
    <w:rsid w:val="00665386"/>
    <w:rsid w:val="0066659B"/>
    <w:rsid w:val="00666751"/>
    <w:rsid w:val="00667E68"/>
    <w:rsid w:val="006706F1"/>
    <w:rsid w:val="00671047"/>
    <w:rsid w:val="0067178E"/>
    <w:rsid w:val="006757B9"/>
    <w:rsid w:val="006765F2"/>
    <w:rsid w:val="00676B74"/>
    <w:rsid w:val="006816B9"/>
    <w:rsid w:val="00681821"/>
    <w:rsid w:val="0068311F"/>
    <w:rsid w:val="00683B47"/>
    <w:rsid w:val="00685655"/>
    <w:rsid w:val="00685843"/>
    <w:rsid w:val="006873EF"/>
    <w:rsid w:val="0069118A"/>
    <w:rsid w:val="00691E3B"/>
    <w:rsid w:val="006920C8"/>
    <w:rsid w:val="006953AF"/>
    <w:rsid w:val="006A000F"/>
    <w:rsid w:val="006A041C"/>
    <w:rsid w:val="006A2A45"/>
    <w:rsid w:val="006A39BE"/>
    <w:rsid w:val="006A55C0"/>
    <w:rsid w:val="006A5BC5"/>
    <w:rsid w:val="006A616C"/>
    <w:rsid w:val="006A76CA"/>
    <w:rsid w:val="006B113C"/>
    <w:rsid w:val="006B310A"/>
    <w:rsid w:val="006B3813"/>
    <w:rsid w:val="006B45A6"/>
    <w:rsid w:val="006B475B"/>
    <w:rsid w:val="006B4EBB"/>
    <w:rsid w:val="006B5506"/>
    <w:rsid w:val="006B5C72"/>
    <w:rsid w:val="006B6190"/>
    <w:rsid w:val="006C0F69"/>
    <w:rsid w:val="006C1884"/>
    <w:rsid w:val="006C3C2E"/>
    <w:rsid w:val="006C5793"/>
    <w:rsid w:val="006C5FDE"/>
    <w:rsid w:val="006C6A18"/>
    <w:rsid w:val="006C6A97"/>
    <w:rsid w:val="006D1070"/>
    <w:rsid w:val="006D1957"/>
    <w:rsid w:val="006D1AD8"/>
    <w:rsid w:val="006D28B3"/>
    <w:rsid w:val="006D2A06"/>
    <w:rsid w:val="006D4677"/>
    <w:rsid w:val="006D4E71"/>
    <w:rsid w:val="006D745A"/>
    <w:rsid w:val="006E1AA6"/>
    <w:rsid w:val="006E2B12"/>
    <w:rsid w:val="006E3512"/>
    <w:rsid w:val="006E44E9"/>
    <w:rsid w:val="006E6FF6"/>
    <w:rsid w:val="006E7C63"/>
    <w:rsid w:val="006F03D4"/>
    <w:rsid w:val="006F609D"/>
    <w:rsid w:val="006F75A1"/>
    <w:rsid w:val="006F7967"/>
    <w:rsid w:val="00702EE7"/>
    <w:rsid w:val="00702F7E"/>
    <w:rsid w:val="0070496E"/>
    <w:rsid w:val="00711873"/>
    <w:rsid w:val="00711895"/>
    <w:rsid w:val="00715B06"/>
    <w:rsid w:val="00715BAA"/>
    <w:rsid w:val="0072195F"/>
    <w:rsid w:val="00721A8F"/>
    <w:rsid w:val="007234F3"/>
    <w:rsid w:val="00723795"/>
    <w:rsid w:val="007237CD"/>
    <w:rsid w:val="00725095"/>
    <w:rsid w:val="00725229"/>
    <w:rsid w:val="00725997"/>
    <w:rsid w:val="00730F51"/>
    <w:rsid w:val="007310BC"/>
    <w:rsid w:val="00733007"/>
    <w:rsid w:val="00733345"/>
    <w:rsid w:val="007337C3"/>
    <w:rsid w:val="0073536E"/>
    <w:rsid w:val="007355DF"/>
    <w:rsid w:val="00737B99"/>
    <w:rsid w:val="00737CD5"/>
    <w:rsid w:val="00741815"/>
    <w:rsid w:val="00741C47"/>
    <w:rsid w:val="00742CD1"/>
    <w:rsid w:val="00743499"/>
    <w:rsid w:val="00743987"/>
    <w:rsid w:val="00745BB3"/>
    <w:rsid w:val="00746949"/>
    <w:rsid w:val="00750425"/>
    <w:rsid w:val="0075205E"/>
    <w:rsid w:val="00756AC8"/>
    <w:rsid w:val="00757A55"/>
    <w:rsid w:val="00757D65"/>
    <w:rsid w:val="007606DC"/>
    <w:rsid w:val="007608D2"/>
    <w:rsid w:val="00761A4B"/>
    <w:rsid w:val="00762276"/>
    <w:rsid w:val="00763BE2"/>
    <w:rsid w:val="0076637A"/>
    <w:rsid w:val="00766DD9"/>
    <w:rsid w:val="00767C1E"/>
    <w:rsid w:val="007704B8"/>
    <w:rsid w:val="00770981"/>
    <w:rsid w:val="00771FF4"/>
    <w:rsid w:val="00773BAC"/>
    <w:rsid w:val="00774D83"/>
    <w:rsid w:val="007767A6"/>
    <w:rsid w:val="00776CEC"/>
    <w:rsid w:val="00780259"/>
    <w:rsid w:val="00780E00"/>
    <w:rsid w:val="007830DB"/>
    <w:rsid w:val="007838AF"/>
    <w:rsid w:val="00787CD6"/>
    <w:rsid w:val="0079057C"/>
    <w:rsid w:val="007913F5"/>
    <w:rsid w:val="007919A5"/>
    <w:rsid w:val="007931FE"/>
    <w:rsid w:val="007935CB"/>
    <w:rsid w:val="00793760"/>
    <w:rsid w:val="00793886"/>
    <w:rsid w:val="00793BE0"/>
    <w:rsid w:val="00796C56"/>
    <w:rsid w:val="007A0505"/>
    <w:rsid w:val="007A193C"/>
    <w:rsid w:val="007A2983"/>
    <w:rsid w:val="007A4768"/>
    <w:rsid w:val="007A4B3B"/>
    <w:rsid w:val="007A51F4"/>
    <w:rsid w:val="007A63FE"/>
    <w:rsid w:val="007A6909"/>
    <w:rsid w:val="007A708E"/>
    <w:rsid w:val="007B1248"/>
    <w:rsid w:val="007B127D"/>
    <w:rsid w:val="007B1C66"/>
    <w:rsid w:val="007B223C"/>
    <w:rsid w:val="007B35DB"/>
    <w:rsid w:val="007B40F8"/>
    <w:rsid w:val="007B41CC"/>
    <w:rsid w:val="007B76AD"/>
    <w:rsid w:val="007C1E29"/>
    <w:rsid w:val="007C20B1"/>
    <w:rsid w:val="007C45F9"/>
    <w:rsid w:val="007C4D71"/>
    <w:rsid w:val="007C672A"/>
    <w:rsid w:val="007C6764"/>
    <w:rsid w:val="007D167B"/>
    <w:rsid w:val="007E1530"/>
    <w:rsid w:val="007E157D"/>
    <w:rsid w:val="007E1B02"/>
    <w:rsid w:val="007E312F"/>
    <w:rsid w:val="007E343E"/>
    <w:rsid w:val="007E6CAC"/>
    <w:rsid w:val="007E7440"/>
    <w:rsid w:val="007F008C"/>
    <w:rsid w:val="007F13D0"/>
    <w:rsid w:val="007F2668"/>
    <w:rsid w:val="007F2BEA"/>
    <w:rsid w:val="007F5380"/>
    <w:rsid w:val="007F7872"/>
    <w:rsid w:val="00800505"/>
    <w:rsid w:val="0080058C"/>
    <w:rsid w:val="00801F81"/>
    <w:rsid w:val="00804DC5"/>
    <w:rsid w:val="00805068"/>
    <w:rsid w:val="00805A32"/>
    <w:rsid w:val="008067F1"/>
    <w:rsid w:val="00807365"/>
    <w:rsid w:val="0081374A"/>
    <w:rsid w:val="008150C4"/>
    <w:rsid w:val="00815685"/>
    <w:rsid w:val="00815F41"/>
    <w:rsid w:val="00815FCD"/>
    <w:rsid w:val="008170C3"/>
    <w:rsid w:val="00817212"/>
    <w:rsid w:val="008205F9"/>
    <w:rsid w:val="008206F9"/>
    <w:rsid w:val="008207E8"/>
    <w:rsid w:val="008213EB"/>
    <w:rsid w:val="00821F0A"/>
    <w:rsid w:val="00822AFE"/>
    <w:rsid w:val="00824E4B"/>
    <w:rsid w:val="00825B8D"/>
    <w:rsid w:val="008277B6"/>
    <w:rsid w:val="00830076"/>
    <w:rsid w:val="008300D1"/>
    <w:rsid w:val="00830FD4"/>
    <w:rsid w:val="008316A1"/>
    <w:rsid w:val="00833E91"/>
    <w:rsid w:val="00835370"/>
    <w:rsid w:val="0083670B"/>
    <w:rsid w:val="00836EA3"/>
    <w:rsid w:val="008373C1"/>
    <w:rsid w:val="00837B57"/>
    <w:rsid w:val="0084174D"/>
    <w:rsid w:val="00841961"/>
    <w:rsid w:val="00841B6D"/>
    <w:rsid w:val="0084205A"/>
    <w:rsid w:val="0084307D"/>
    <w:rsid w:val="00845449"/>
    <w:rsid w:val="00845E49"/>
    <w:rsid w:val="0084698F"/>
    <w:rsid w:val="00851BB7"/>
    <w:rsid w:val="0085261C"/>
    <w:rsid w:val="00853623"/>
    <w:rsid w:val="00853679"/>
    <w:rsid w:val="00853807"/>
    <w:rsid w:val="008550AC"/>
    <w:rsid w:val="00855449"/>
    <w:rsid w:val="008632CB"/>
    <w:rsid w:val="00864B28"/>
    <w:rsid w:val="00864C2A"/>
    <w:rsid w:val="00866EAC"/>
    <w:rsid w:val="00867B63"/>
    <w:rsid w:val="0087106F"/>
    <w:rsid w:val="00871F73"/>
    <w:rsid w:val="00872159"/>
    <w:rsid w:val="00873C42"/>
    <w:rsid w:val="0087697F"/>
    <w:rsid w:val="008804C7"/>
    <w:rsid w:val="00881AB8"/>
    <w:rsid w:val="008821C2"/>
    <w:rsid w:val="008831C4"/>
    <w:rsid w:val="00883421"/>
    <w:rsid w:val="0088661B"/>
    <w:rsid w:val="00886A97"/>
    <w:rsid w:val="0088751D"/>
    <w:rsid w:val="0089091D"/>
    <w:rsid w:val="008912F0"/>
    <w:rsid w:val="0089172A"/>
    <w:rsid w:val="00892BBD"/>
    <w:rsid w:val="00893314"/>
    <w:rsid w:val="00893A4E"/>
    <w:rsid w:val="0089785B"/>
    <w:rsid w:val="008978E0"/>
    <w:rsid w:val="008A1A6A"/>
    <w:rsid w:val="008A353B"/>
    <w:rsid w:val="008A5829"/>
    <w:rsid w:val="008A59B9"/>
    <w:rsid w:val="008A6602"/>
    <w:rsid w:val="008A6729"/>
    <w:rsid w:val="008A7A62"/>
    <w:rsid w:val="008B0140"/>
    <w:rsid w:val="008B14FC"/>
    <w:rsid w:val="008B15B0"/>
    <w:rsid w:val="008B2733"/>
    <w:rsid w:val="008B305A"/>
    <w:rsid w:val="008B3A17"/>
    <w:rsid w:val="008B4D43"/>
    <w:rsid w:val="008B7C2E"/>
    <w:rsid w:val="008C0CE3"/>
    <w:rsid w:val="008C22A7"/>
    <w:rsid w:val="008C2524"/>
    <w:rsid w:val="008C277F"/>
    <w:rsid w:val="008C4729"/>
    <w:rsid w:val="008D0C73"/>
    <w:rsid w:val="008D14E7"/>
    <w:rsid w:val="008D1A44"/>
    <w:rsid w:val="008D1A7B"/>
    <w:rsid w:val="008D1B5A"/>
    <w:rsid w:val="008D2977"/>
    <w:rsid w:val="008D2CD5"/>
    <w:rsid w:val="008D2F19"/>
    <w:rsid w:val="008D34A5"/>
    <w:rsid w:val="008D6BAB"/>
    <w:rsid w:val="008E06CD"/>
    <w:rsid w:val="008E1A10"/>
    <w:rsid w:val="008E3694"/>
    <w:rsid w:val="008E394C"/>
    <w:rsid w:val="008E3D9D"/>
    <w:rsid w:val="008E58B8"/>
    <w:rsid w:val="008E70EE"/>
    <w:rsid w:val="008E746F"/>
    <w:rsid w:val="008F0161"/>
    <w:rsid w:val="008F3EDC"/>
    <w:rsid w:val="008F675C"/>
    <w:rsid w:val="008F6AD5"/>
    <w:rsid w:val="008F6C75"/>
    <w:rsid w:val="008F6FF7"/>
    <w:rsid w:val="008F705C"/>
    <w:rsid w:val="00900FDF"/>
    <w:rsid w:val="00902DB7"/>
    <w:rsid w:val="00903886"/>
    <w:rsid w:val="00903C40"/>
    <w:rsid w:val="00903D66"/>
    <w:rsid w:val="0090405B"/>
    <w:rsid w:val="00904089"/>
    <w:rsid w:val="009049B4"/>
    <w:rsid w:val="009061AD"/>
    <w:rsid w:val="009073BC"/>
    <w:rsid w:val="0090765B"/>
    <w:rsid w:val="009105B7"/>
    <w:rsid w:val="009111E2"/>
    <w:rsid w:val="00912409"/>
    <w:rsid w:val="00913058"/>
    <w:rsid w:val="0091346B"/>
    <w:rsid w:val="0091417F"/>
    <w:rsid w:val="00922654"/>
    <w:rsid w:val="00923661"/>
    <w:rsid w:val="00923A95"/>
    <w:rsid w:val="00923BC0"/>
    <w:rsid w:val="00923EEC"/>
    <w:rsid w:val="0092432A"/>
    <w:rsid w:val="009255E3"/>
    <w:rsid w:val="009260C9"/>
    <w:rsid w:val="00927857"/>
    <w:rsid w:val="00930539"/>
    <w:rsid w:val="009311BB"/>
    <w:rsid w:val="00931C71"/>
    <w:rsid w:val="00932073"/>
    <w:rsid w:val="00935367"/>
    <w:rsid w:val="009372CC"/>
    <w:rsid w:val="00937D0E"/>
    <w:rsid w:val="00942862"/>
    <w:rsid w:val="00943408"/>
    <w:rsid w:val="00943FAB"/>
    <w:rsid w:val="00944625"/>
    <w:rsid w:val="00945112"/>
    <w:rsid w:val="009468A1"/>
    <w:rsid w:val="00946D02"/>
    <w:rsid w:val="009510C5"/>
    <w:rsid w:val="00953922"/>
    <w:rsid w:val="00953ED9"/>
    <w:rsid w:val="0095520B"/>
    <w:rsid w:val="0095631F"/>
    <w:rsid w:val="0096036F"/>
    <w:rsid w:val="00960633"/>
    <w:rsid w:val="00962732"/>
    <w:rsid w:val="00962971"/>
    <w:rsid w:val="00963767"/>
    <w:rsid w:val="00963A61"/>
    <w:rsid w:val="00963E90"/>
    <w:rsid w:val="00964915"/>
    <w:rsid w:val="00965C20"/>
    <w:rsid w:val="0096644F"/>
    <w:rsid w:val="00967DA2"/>
    <w:rsid w:val="0097006C"/>
    <w:rsid w:val="00971920"/>
    <w:rsid w:val="00971D9E"/>
    <w:rsid w:val="009723C1"/>
    <w:rsid w:val="009731D8"/>
    <w:rsid w:val="00973E07"/>
    <w:rsid w:val="00974944"/>
    <w:rsid w:val="009754A5"/>
    <w:rsid w:val="009758B3"/>
    <w:rsid w:val="00975971"/>
    <w:rsid w:val="00975F6A"/>
    <w:rsid w:val="009775A5"/>
    <w:rsid w:val="00977FF7"/>
    <w:rsid w:val="00981394"/>
    <w:rsid w:val="00982F42"/>
    <w:rsid w:val="009831DE"/>
    <w:rsid w:val="009860B7"/>
    <w:rsid w:val="00990209"/>
    <w:rsid w:val="00990F02"/>
    <w:rsid w:val="00991215"/>
    <w:rsid w:val="009919F4"/>
    <w:rsid w:val="00992776"/>
    <w:rsid w:val="00992B6C"/>
    <w:rsid w:val="00994E68"/>
    <w:rsid w:val="00995017"/>
    <w:rsid w:val="009A0854"/>
    <w:rsid w:val="009A0B64"/>
    <w:rsid w:val="009A2890"/>
    <w:rsid w:val="009A3A36"/>
    <w:rsid w:val="009A3FD8"/>
    <w:rsid w:val="009A42D2"/>
    <w:rsid w:val="009A44C4"/>
    <w:rsid w:val="009A4BE6"/>
    <w:rsid w:val="009A6E11"/>
    <w:rsid w:val="009B1C58"/>
    <w:rsid w:val="009B2163"/>
    <w:rsid w:val="009B282F"/>
    <w:rsid w:val="009B4669"/>
    <w:rsid w:val="009B4B26"/>
    <w:rsid w:val="009B5232"/>
    <w:rsid w:val="009B588C"/>
    <w:rsid w:val="009B745B"/>
    <w:rsid w:val="009C0B31"/>
    <w:rsid w:val="009C0DE0"/>
    <w:rsid w:val="009C1260"/>
    <w:rsid w:val="009C1824"/>
    <w:rsid w:val="009C4301"/>
    <w:rsid w:val="009C6221"/>
    <w:rsid w:val="009C6EDE"/>
    <w:rsid w:val="009C71B9"/>
    <w:rsid w:val="009C739D"/>
    <w:rsid w:val="009C7B60"/>
    <w:rsid w:val="009D27A0"/>
    <w:rsid w:val="009D283F"/>
    <w:rsid w:val="009D2A85"/>
    <w:rsid w:val="009D4306"/>
    <w:rsid w:val="009D7201"/>
    <w:rsid w:val="009D7331"/>
    <w:rsid w:val="009D7868"/>
    <w:rsid w:val="009E0BE6"/>
    <w:rsid w:val="009E3121"/>
    <w:rsid w:val="009E34A7"/>
    <w:rsid w:val="009E604F"/>
    <w:rsid w:val="009E7EA5"/>
    <w:rsid w:val="009F0720"/>
    <w:rsid w:val="009F183C"/>
    <w:rsid w:val="009F1D4F"/>
    <w:rsid w:val="009F28D9"/>
    <w:rsid w:val="009F2E9A"/>
    <w:rsid w:val="009F3B06"/>
    <w:rsid w:val="009F472C"/>
    <w:rsid w:val="009F59A0"/>
    <w:rsid w:val="009F5A57"/>
    <w:rsid w:val="009F663D"/>
    <w:rsid w:val="009F69AD"/>
    <w:rsid w:val="009F72C5"/>
    <w:rsid w:val="00A00706"/>
    <w:rsid w:val="00A0098E"/>
    <w:rsid w:val="00A00F62"/>
    <w:rsid w:val="00A0110B"/>
    <w:rsid w:val="00A01A6D"/>
    <w:rsid w:val="00A02194"/>
    <w:rsid w:val="00A02B5C"/>
    <w:rsid w:val="00A02FC6"/>
    <w:rsid w:val="00A03607"/>
    <w:rsid w:val="00A03935"/>
    <w:rsid w:val="00A03DA2"/>
    <w:rsid w:val="00A050CF"/>
    <w:rsid w:val="00A058C4"/>
    <w:rsid w:val="00A05C6A"/>
    <w:rsid w:val="00A061FB"/>
    <w:rsid w:val="00A11179"/>
    <w:rsid w:val="00A12388"/>
    <w:rsid w:val="00A12627"/>
    <w:rsid w:val="00A128C5"/>
    <w:rsid w:val="00A13FEE"/>
    <w:rsid w:val="00A145AF"/>
    <w:rsid w:val="00A152DD"/>
    <w:rsid w:val="00A15D84"/>
    <w:rsid w:val="00A17747"/>
    <w:rsid w:val="00A17D8E"/>
    <w:rsid w:val="00A21E1D"/>
    <w:rsid w:val="00A224A4"/>
    <w:rsid w:val="00A22B98"/>
    <w:rsid w:val="00A25A03"/>
    <w:rsid w:val="00A2685D"/>
    <w:rsid w:val="00A27E9B"/>
    <w:rsid w:val="00A31D20"/>
    <w:rsid w:val="00A3226A"/>
    <w:rsid w:val="00A3469A"/>
    <w:rsid w:val="00A349B2"/>
    <w:rsid w:val="00A373C6"/>
    <w:rsid w:val="00A37985"/>
    <w:rsid w:val="00A40693"/>
    <w:rsid w:val="00A41066"/>
    <w:rsid w:val="00A41067"/>
    <w:rsid w:val="00A420B4"/>
    <w:rsid w:val="00A43503"/>
    <w:rsid w:val="00A4391C"/>
    <w:rsid w:val="00A43F61"/>
    <w:rsid w:val="00A45887"/>
    <w:rsid w:val="00A47194"/>
    <w:rsid w:val="00A506DC"/>
    <w:rsid w:val="00A527A9"/>
    <w:rsid w:val="00A54AE0"/>
    <w:rsid w:val="00A55B55"/>
    <w:rsid w:val="00A612ED"/>
    <w:rsid w:val="00A61567"/>
    <w:rsid w:val="00A61E9C"/>
    <w:rsid w:val="00A62608"/>
    <w:rsid w:val="00A63777"/>
    <w:rsid w:val="00A642EE"/>
    <w:rsid w:val="00A64981"/>
    <w:rsid w:val="00A653D2"/>
    <w:rsid w:val="00A658DC"/>
    <w:rsid w:val="00A65917"/>
    <w:rsid w:val="00A72141"/>
    <w:rsid w:val="00A73555"/>
    <w:rsid w:val="00A81785"/>
    <w:rsid w:val="00A81947"/>
    <w:rsid w:val="00A821E5"/>
    <w:rsid w:val="00A825FD"/>
    <w:rsid w:val="00A82CC6"/>
    <w:rsid w:val="00A8572F"/>
    <w:rsid w:val="00A857B1"/>
    <w:rsid w:val="00A86903"/>
    <w:rsid w:val="00A86B9C"/>
    <w:rsid w:val="00A87926"/>
    <w:rsid w:val="00A91CB1"/>
    <w:rsid w:val="00A930EC"/>
    <w:rsid w:val="00A93576"/>
    <w:rsid w:val="00A93C5B"/>
    <w:rsid w:val="00A93E8B"/>
    <w:rsid w:val="00A94885"/>
    <w:rsid w:val="00A9734F"/>
    <w:rsid w:val="00AA0467"/>
    <w:rsid w:val="00AA1358"/>
    <w:rsid w:val="00AA19B7"/>
    <w:rsid w:val="00AA2126"/>
    <w:rsid w:val="00AA2C45"/>
    <w:rsid w:val="00AA3AFE"/>
    <w:rsid w:val="00AA59D2"/>
    <w:rsid w:val="00AB056D"/>
    <w:rsid w:val="00AB1C3D"/>
    <w:rsid w:val="00AB2133"/>
    <w:rsid w:val="00AB4742"/>
    <w:rsid w:val="00AB4E04"/>
    <w:rsid w:val="00AB6268"/>
    <w:rsid w:val="00AB7CED"/>
    <w:rsid w:val="00AC177A"/>
    <w:rsid w:val="00AC1D86"/>
    <w:rsid w:val="00AC2835"/>
    <w:rsid w:val="00AC2BA8"/>
    <w:rsid w:val="00AC6DDB"/>
    <w:rsid w:val="00AC7482"/>
    <w:rsid w:val="00AD01CD"/>
    <w:rsid w:val="00AD032E"/>
    <w:rsid w:val="00AD1C45"/>
    <w:rsid w:val="00AD1FD3"/>
    <w:rsid w:val="00AD2646"/>
    <w:rsid w:val="00AD2928"/>
    <w:rsid w:val="00AD2B64"/>
    <w:rsid w:val="00AD3E8C"/>
    <w:rsid w:val="00AD46C9"/>
    <w:rsid w:val="00AE1AAA"/>
    <w:rsid w:val="00AE1F6B"/>
    <w:rsid w:val="00AE5448"/>
    <w:rsid w:val="00AE5454"/>
    <w:rsid w:val="00AE5928"/>
    <w:rsid w:val="00AE5F6E"/>
    <w:rsid w:val="00AE60DC"/>
    <w:rsid w:val="00AE6E88"/>
    <w:rsid w:val="00AE7158"/>
    <w:rsid w:val="00AE7C9A"/>
    <w:rsid w:val="00AF186F"/>
    <w:rsid w:val="00AF2F72"/>
    <w:rsid w:val="00AF3B8F"/>
    <w:rsid w:val="00AF6F27"/>
    <w:rsid w:val="00AF6FF1"/>
    <w:rsid w:val="00B02E61"/>
    <w:rsid w:val="00B0327D"/>
    <w:rsid w:val="00B0331B"/>
    <w:rsid w:val="00B03B71"/>
    <w:rsid w:val="00B0606B"/>
    <w:rsid w:val="00B105D9"/>
    <w:rsid w:val="00B11BFA"/>
    <w:rsid w:val="00B14D3B"/>
    <w:rsid w:val="00B15A6C"/>
    <w:rsid w:val="00B170BB"/>
    <w:rsid w:val="00B20B0F"/>
    <w:rsid w:val="00B20BFB"/>
    <w:rsid w:val="00B22249"/>
    <w:rsid w:val="00B2255F"/>
    <w:rsid w:val="00B22782"/>
    <w:rsid w:val="00B27B52"/>
    <w:rsid w:val="00B30404"/>
    <w:rsid w:val="00B31244"/>
    <w:rsid w:val="00B31931"/>
    <w:rsid w:val="00B31985"/>
    <w:rsid w:val="00B3796B"/>
    <w:rsid w:val="00B402FF"/>
    <w:rsid w:val="00B414DB"/>
    <w:rsid w:val="00B428C6"/>
    <w:rsid w:val="00B4291F"/>
    <w:rsid w:val="00B42B5C"/>
    <w:rsid w:val="00B43692"/>
    <w:rsid w:val="00B44102"/>
    <w:rsid w:val="00B46926"/>
    <w:rsid w:val="00B50F40"/>
    <w:rsid w:val="00B53093"/>
    <w:rsid w:val="00B558CD"/>
    <w:rsid w:val="00B55A42"/>
    <w:rsid w:val="00B55B2F"/>
    <w:rsid w:val="00B55DE3"/>
    <w:rsid w:val="00B56231"/>
    <w:rsid w:val="00B60614"/>
    <w:rsid w:val="00B6077F"/>
    <w:rsid w:val="00B61392"/>
    <w:rsid w:val="00B660DC"/>
    <w:rsid w:val="00B66BAE"/>
    <w:rsid w:val="00B71618"/>
    <w:rsid w:val="00B71A80"/>
    <w:rsid w:val="00B71C7C"/>
    <w:rsid w:val="00B72102"/>
    <w:rsid w:val="00B74694"/>
    <w:rsid w:val="00B756B7"/>
    <w:rsid w:val="00B76C54"/>
    <w:rsid w:val="00B77254"/>
    <w:rsid w:val="00B825D9"/>
    <w:rsid w:val="00B826DD"/>
    <w:rsid w:val="00B82AD7"/>
    <w:rsid w:val="00B868BC"/>
    <w:rsid w:val="00B86E9C"/>
    <w:rsid w:val="00B95DE1"/>
    <w:rsid w:val="00B95DE9"/>
    <w:rsid w:val="00B968DA"/>
    <w:rsid w:val="00B970AE"/>
    <w:rsid w:val="00B976EE"/>
    <w:rsid w:val="00BA10E3"/>
    <w:rsid w:val="00BA1DAD"/>
    <w:rsid w:val="00BA2CC4"/>
    <w:rsid w:val="00BA3CB2"/>
    <w:rsid w:val="00BA576B"/>
    <w:rsid w:val="00BB001C"/>
    <w:rsid w:val="00BB1130"/>
    <w:rsid w:val="00BB1B4D"/>
    <w:rsid w:val="00BB23F4"/>
    <w:rsid w:val="00BB35C0"/>
    <w:rsid w:val="00BB4160"/>
    <w:rsid w:val="00BB476A"/>
    <w:rsid w:val="00BB5CE8"/>
    <w:rsid w:val="00BB69A8"/>
    <w:rsid w:val="00BB7411"/>
    <w:rsid w:val="00BC1690"/>
    <w:rsid w:val="00BC2648"/>
    <w:rsid w:val="00BC4C43"/>
    <w:rsid w:val="00BC59F3"/>
    <w:rsid w:val="00BC5C5E"/>
    <w:rsid w:val="00BC7179"/>
    <w:rsid w:val="00BC7381"/>
    <w:rsid w:val="00BC786F"/>
    <w:rsid w:val="00BD01DC"/>
    <w:rsid w:val="00BD04E8"/>
    <w:rsid w:val="00BD126F"/>
    <w:rsid w:val="00BD1284"/>
    <w:rsid w:val="00BD1A9B"/>
    <w:rsid w:val="00BD1EB4"/>
    <w:rsid w:val="00BD446B"/>
    <w:rsid w:val="00BD4684"/>
    <w:rsid w:val="00BD530F"/>
    <w:rsid w:val="00BD5C44"/>
    <w:rsid w:val="00BD5D52"/>
    <w:rsid w:val="00BE00B4"/>
    <w:rsid w:val="00BE54D2"/>
    <w:rsid w:val="00BF4334"/>
    <w:rsid w:val="00BF4CEC"/>
    <w:rsid w:val="00BF5470"/>
    <w:rsid w:val="00BF76FE"/>
    <w:rsid w:val="00BF7FA4"/>
    <w:rsid w:val="00C00D16"/>
    <w:rsid w:val="00C017E3"/>
    <w:rsid w:val="00C02937"/>
    <w:rsid w:val="00C02E6E"/>
    <w:rsid w:val="00C03FBD"/>
    <w:rsid w:val="00C0430C"/>
    <w:rsid w:val="00C10E5A"/>
    <w:rsid w:val="00C10F46"/>
    <w:rsid w:val="00C11191"/>
    <w:rsid w:val="00C11449"/>
    <w:rsid w:val="00C11613"/>
    <w:rsid w:val="00C14E71"/>
    <w:rsid w:val="00C15EFF"/>
    <w:rsid w:val="00C219C7"/>
    <w:rsid w:val="00C25073"/>
    <w:rsid w:val="00C26C2F"/>
    <w:rsid w:val="00C26D10"/>
    <w:rsid w:val="00C27536"/>
    <w:rsid w:val="00C31356"/>
    <w:rsid w:val="00C315EE"/>
    <w:rsid w:val="00C32536"/>
    <w:rsid w:val="00C3328F"/>
    <w:rsid w:val="00C333A4"/>
    <w:rsid w:val="00C33647"/>
    <w:rsid w:val="00C34749"/>
    <w:rsid w:val="00C36588"/>
    <w:rsid w:val="00C37580"/>
    <w:rsid w:val="00C40738"/>
    <w:rsid w:val="00C40841"/>
    <w:rsid w:val="00C42B66"/>
    <w:rsid w:val="00C44A77"/>
    <w:rsid w:val="00C45B9F"/>
    <w:rsid w:val="00C46D77"/>
    <w:rsid w:val="00C47080"/>
    <w:rsid w:val="00C47107"/>
    <w:rsid w:val="00C472F3"/>
    <w:rsid w:val="00C518D7"/>
    <w:rsid w:val="00C5260C"/>
    <w:rsid w:val="00C52836"/>
    <w:rsid w:val="00C54DAC"/>
    <w:rsid w:val="00C5523E"/>
    <w:rsid w:val="00C55C67"/>
    <w:rsid w:val="00C5682A"/>
    <w:rsid w:val="00C57C3A"/>
    <w:rsid w:val="00C607BC"/>
    <w:rsid w:val="00C6162E"/>
    <w:rsid w:val="00C6187C"/>
    <w:rsid w:val="00C62B71"/>
    <w:rsid w:val="00C62EA3"/>
    <w:rsid w:val="00C6681A"/>
    <w:rsid w:val="00C71F85"/>
    <w:rsid w:val="00C72B3A"/>
    <w:rsid w:val="00C75F96"/>
    <w:rsid w:val="00C76305"/>
    <w:rsid w:val="00C825A0"/>
    <w:rsid w:val="00C83CC9"/>
    <w:rsid w:val="00C85043"/>
    <w:rsid w:val="00C85590"/>
    <w:rsid w:val="00C85C9E"/>
    <w:rsid w:val="00C85E67"/>
    <w:rsid w:val="00C90C05"/>
    <w:rsid w:val="00C91921"/>
    <w:rsid w:val="00C95375"/>
    <w:rsid w:val="00CA08FE"/>
    <w:rsid w:val="00CA30E9"/>
    <w:rsid w:val="00CA4412"/>
    <w:rsid w:val="00CA5067"/>
    <w:rsid w:val="00CA70CC"/>
    <w:rsid w:val="00CA7A96"/>
    <w:rsid w:val="00CB1EE3"/>
    <w:rsid w:val="00CB5811"/>
    <w:rsid w:val="00CC0064"/>
    <w:rsid w:val="00CC2F28"/>
    <w:rsid w:val="00CC34A3"/>
    <w:rsid w:val="00CC4119"/>
    <w:rsid w:val="00CC6F02"/>
    <w:rsid w:val="00CC76E9"/>
    <w:rsid w:val="00CD049B"/>
    <w:rsid w:val="00CD120F"/>
    <w:rsid w:val="00CD15BB"/>
    <w:rsid w:val="00CD444B"/>
    <w:rsid w:val="00CD6E67"/>
    <w:rsid w:val="00CD717E"/>
    <w:rsid w:val="00CE185D"/>
    <w:rsid w:val="00CE1D04"/>
    <w:rsid w:val="00CE2600"/>
    <w:rsid w:val="00CE4692"/>
    <w:rsid w:val="00CE7905"/>
    <w:rsid w:val="00CE7B18"/>
    <w:rsid w:val="00CF0B51"/>
    <w:rsid w:val="00CF0ED3"/>
    <w:rsid w:val="00CF2FBA"/>
    <w:rsid w:val="00CF3716"/>
    <w:rsid w:val="00CF5F56"/>
    <w:rsid w:val="00CF7D0F"/>
    <w:rsid w:val="00D0045F"/>
    <w:rsid w:val="00D01359"/>
    <w:rsid w:val="00D02B32"/>
    <w:rsid w:val="00D035F4"/>
    <w:rsid w:val="00D05E04"/>
    <w:rsid w:val="00D13FC1"/>
    <w:rsid w:val="00D16013"/>
    <w:rsid w:val="00D16178"/>
    <w:rsid w:val="00D171C1"/>
    <w:rsid w:val="00D17D99"/>
    <w:rsid w:val="00D2072B"/>
    <w:rsid w:val="00D208C0"/>
    <w:rsid w:val="00D24596"/>
    <w:rsid w:val="00D30DFF"/>
    <w:rsid w:val="00D3233E"/>
    <w:rsid w:val="00D356F0"/>
    <w:rsid w:val="00D35F46"/>
    <w:rsid w:val="00D36A22"/>
    <w:rsid w:val="00D41B83"/>
    <w:rsid w:val="00D420A3"/>
    <w:rsid w:val="00D4525E"/>
    <w:rsid w:val="00D46F9B"/>
    <w:rsid w:val="00D47176"/>
    <w:rsid w:val="00D5033C"/>
    <w:rsid w:val="00D51252"/>
    <w:rsid w:val="00D514CE"/>
    <w:rsid w:val="00D51805"/>
    <w:rsid w:val="00D531E6"/>
    <w:rsid w:val="00D53835"/>
    <w:rsid w:val="00D5438B"/>
    <w:rsid w:val="00D552DD"/>
    <w:rsid w:val="00D55ED4"/>
    <w:rsid w:val="00D57DCB"/>
    <w:rsid w:val="00D6003A"/>
    <w:rsid w:val="00D6069A"/>
    <w:rsid w:val="00D606B9"/>
    <w:rsid w:val="00D6136D"/>
    <w:rsid w:val="00D626AA"/>
    <w:rsid w:val="00D63B9D"/>
    <w:rsid w:val="00D63CC0"/>
    <w:rsid w:val="00D63E2C"/>
    <w:rsid w:val="00D65832"/>
    <w:rsid w:val="00D674DB"/>
    <w:rsid w:val="00D67A35"/>
    <w:rsid w:val="00D67BCF"/>
    <w:rsid w:val="00D704CF"/>
    <w:rsid w:val="00D71719"/>
    <w:rsid w:val="00D72347"/>
    <w:rsid w:val="00D750FD"/>
    <w:rsid w:val="00D765E3"/>
    <w:rsid w:val="00D76B02"/>
    <w:rsid w:val="00D76DD5"/>
    <w:rsid w:val="00D77C17"/>
    <w:rsid w:val="00D77C20"/>
    <w:rsid w:val="00D77E74"/>
    <w:rsid w:val="00D80000"/>
    <w:rsid w:val="00D80906"/>
    <w:rsid w:val="00D82178"/>
    <w:rsid w:val="00D82914"/>
    <w:rsid w:val="00D83FF2"/>
    <w:rsid w:val="00D844F7"/>
    <w:rsid w:val="00D85815"/>
    <w:rsid w:val="00D85F45"/>
    <w:rsid w:val="00D86779"/>
    <w:rsid w:val="00D86A87"/>
    <w:rsid w:val="00D8735A"/>
    <w:rsid w:val="00D87450"/>
    <w:rsid w:val="00D912B4"/>
    <w:rsid w:val="00D9174B"/>
    <w:rsid w:val="00D93997"/>
    <w:rsid w:val="00D95F85"/>
    <w:rsid w:val="00D9689F"/>
    <w:rsid w:val="00DA004D"/>
    <w:rsid w:val="00DA10CC"/>
    <w:rsid w:val="00DA41C9"/>
    <w:rsid w:val="00DA48B1"/>
    <w:rsid w:val="00DA499F"/>
    <w:rsid w:val="00DA5177"/>
    <w:rsid w:val="00DA582B"/>
    <w:rsid w:val="00DA5A04"/>
    <w:rsid w:val="00DA791C"/>
    <w:rsid w:val="00DB010A"/>
    <w:rsid w:val="00DB2B16"/>
    <w:rsid w:val="00DB53B5"/>
    <w:rsid w:val="00DB71E4"/>
    <w:rsid w:val="00DB7F1B"/>
    <w:rsid w:val="00DC082C"/>
    <w:rsid w:val="00DC6C94"/>
    <w:rsid w:val="00DD0C03"/>
    <w:rsid w:val="00DD0E4C"/>
    <w:rsid w:val="00DD44A7"/>
    <w:rsid w:val="00DD6F08"/>
    <w:rsid w:val="00DD7808"/>
    <w:rsid w:val="00DE0B43"/>
    <w:rsid w:val="00DE1827"/>
    <w:rsid w:val="00DE3A99"/>
    <w:rsid w:val="00DE4F55"/>
    <w:rsid w:val="00DE5836"/>
    <w:rsid w:val="00DE7485"/>
    <w:rsid w:val="00DE7F76"/>
    <w:rsid w:val="00DF1967"/>
    <w:rsid w:val="00DF4CC7"/>
    <w:rsid w:val="00DF5CA2"/>
    <w:rsid w:val="00DF7376"/>
    <w:rsid w:val="00DF7A49"/>
    <w:rsid w:val="00DF7D0D"/>
    <w:rsid w:val="00E01A5B"/>
    <w:rsid w:val="00E01B62"/>
    <w:rsid w:val="00E030CB"/>
    <w:rsid w:val="00E0550F"/>
    <w:rsid w:val="00E06588"/>
    <w:rsid w:val="00E102E1"/>
    <w:rsid w:val="00E12200"/>
    <w:rsid w:val="00E13C03"/>
    <w:rsid w:val="00E1418C"/>
    <w:rsid w:val="00E16027"/>
    <w:rsid w:val="00E170F8"/>
    <w:rsid w:val="00E171FE"/>
    <w:rsid w:val="00E17D8D"/>
    <w:rsid w:val="00E21AFA"/>
    <w:rsid w:val="00E21BC5"/>
    <w:rsid w:val="00E21E1D"/>
    <w:rsid w:val="00E22FE3"/>
    <w:rsid w:val="00E24F7B"/>
    <w:rsid w:val="00E2632C"/>
    <w:rsid w:val="00E30143"/>
    <w:rsid w:val="00E31433"/>
    <w:rsid w:val="00E31A95"/>
    <w:rsid w:val="00E326DA"/>
    <w:rsid w:val="00E329C1"/>
    <w:rsid w:val="00E34258"/>
    <w:rsid w:val="00E3664A"/>
    <w:rsid w:val="00E36E26"/>
    <w:rsid w:val="00E36FA5"/>
    <w:rsid w:val="00E3757C"/>
    <w:rsid w:val="00E41D1C"/>
    <w:rsid w:val="00E42F92"/>
    <w:rsid w:val="00E431F6"/>
    <w:rsid w:val="00E4320F"/>
    <w:rsid w:val="00E43A9F"/>
    <w:rsid w:val="00E44B5D"/>
    <w:rsid w:val="00E509EA"/>
    <w:rsid w:val="00E50D72"/>
    <w:rsid w:val="00E52808"/>
    <w:rsid w:val="00E54238"/>
    <w:rsid w:val="00E5457D"/>
    <w:rsid w:val="00E551D8"/>
    <w:rsid w:val="00E569E2"/>
    <w:rsid w:val="00E6021A"/>
    <w:rsid w:val="00E61BC1"/>
    <w:rsid w:val="00E624F0"/>
    <w:rsid w:val="00E636D7"/>
    <w:rsid w:val="00E63D65"/>
    <w:rsid w:val="00E6411A"/>
    <w:rsid w:val="00E64CD7"/>
    <w:rsid w:val="00E65A4A"/>
    <w:rsid w:val="00E65AB8"/>
    <w:rsid w:val="00E661CA"/>
    <w:rsid w:val="00E67B55"/>
    <w:rsid w:val="00E701BE"/>
    <w:rsid w:val="00E72161"/>
    <w:rsid w:val="00E72A36"/>
    <w:rsid w:val="00E73B5A"/>
    <w:rsid w:val="00E74CDD"/>
    <w:rsid w:val="00E762DA"/>
    <w:rsid w:val="00E7752F"/>
    <w:rsid w:val="00E775C0"/>
    <w:rsid w:val="00E778D8"/>
    <w:rsid w:val="00E8026F"/>
    <w:rsid w:val="00E80542"/>
    <w:rsid w:val="00E81B70"/>
    <w:rsid w:val="00E834A5"/>
    <w:rsid w:val="00E8373A"/>
    <w:rsid w:val="00E845A2"/>
    <w:rsid w:val="00E8589D"/>
    <w:rsid w:val="00E85CBE"/>
    <w:rsid w:val="00E86196"/>
    <w:rsid w:val="00E86E6A"/>
    <w:rsid w:val="00E8791B"/>
    <w:rsid w:val="00E90A97"/>
    <w:rsid w:val="00E90FB4"/>
    <w:rsid w:val="00E93570"/>
    <w:rsid w:val="00E93E36"/>
    <w:rsid w:val="00E94145"/>
    <w:rsid w:val="00E9526C"/>
    <w:rsid w:val="00E96AF4"/>
    <w:rsid w:val="00EA112B"/>
    <w:rsid w:val="00EA209C"/>
    <w:rsid w:val="00EA3D6B"/>
    <w:rsid w:val="00EA61A8"/>
    <w:rsid w:val="00EA695F"/>
    <w:rsid w:val="00EA6CE1"/>
    <w:rsid w:val="00EB0DA0"/>
    <w:rsid w:val="00EB0EFC"/>
    <w:rsid w:val="00EB15DC"/>
    <w:rsid w:val="00EB1BC8"/>
    <w:rsid w:val="00EB43A9"/>
    <w:rsid w:val="00EB4513"/>
    <w:rsid w:val="00EC0BA5"/>
    <w:rsid w:val="00EC1F16"/>
    <w:rsid w:val="00EC2ECB"/>
    <w:rsid w:val="00EC3F5C"/>
    <w:rsid w:val="00EC41C4"/>
    <w:rsid w:val="00EC44A3"/>
    <w:rsid w:val="00EC51A2"/>
    <w:rsid w:val="00EC53D7"/>
    <w:rsid w:val="00EC7705"/>
    <w:rsid w:val="00EC77F8"/>
    <w:rsid w:val="00EC7CD5"/>
    <w:rsid w:val="00ED1245"/>
    <w:rsid w:val="00ED49F2"/>
    <w:rsid w:val="00ED6598"/>
    <w:rsid w:val="00ED71C5"/>
    <w:rsid w:val="00EE0090"/>
    <w:rsid w:val="00EE1286"/>
    <w:rsid w:val="00EE3096"/>
    <w:rsid w:val="00EE3896"/>
    <w:rsid w:val="00EE3DE1"/>
    <w:rsid w:val="00EE6105"/>
    <w:rsid w:val="00EE6FCA"/>
    <w:rsid w:val="00EE7CFF"/>
    <w:rsid w:val="00EF1286"/>
    <w:rsid w:val="00EF1E4A"/>
    <w:rsid w:val="00EF7143"/>
    <w:rsid w:val="00EF725D"/>
    <w:rsid w:val="00EF73BC"/>
    <w:rsid w:val="00EF7A3C"/>
    <w:rsid w:val="00EF7BDE"/>
    <w:rsid w:val="00F000CC"/>
    <w:rsid w:val="00F00969"/>
    <w:rsid w:val="00F018A9"/>
    <w:rsid w:val="00F019B9"/>
    <w:rsid w:val="00F01A68"/>
    <w:rsid w:val="00F01E1E"/>
    <w:rsid w:val="00F0229E"/>
    <w:rsid w:val="00F04956"/>
    <w:rsid w:val="00F053BA"/>
    <w:rsid w:val="00F05CDD"/>
    <w:rsid w:val="00F06100"/>
    <w:rsid w:val="00F06FFB"/>
    <w:rsid w:val="00F07098"/>
    <w:rsid w:val="00F070A0"/>
    <w:rsid w:val="00F0745E"/>
    <w:rsid w:val="00F07A50"/>
    <w:rsid w:val="00F10EB5"/>
    <w:rsid w:val="00F11BA0"/>
    <w:rsid w:val="00F11C48"/>
    <w:rsid w:val="00F1235B"/>
    <w:rsid w:val="00F13A57"/>
    <w:rsid w:val="00F14A08"/>
    <w:rsid w:val="00F152AB"/>
    <w:rsid w:val="00F166B0"/>
    <w:rsid w:val="00F206C8"/>
    <w:rsid w:val="00F20BA4"/>
    <w:rsid w:val="00F232BA"/>
    <w:rsid w:val="00F25384"/>
    <w:rsid w:val="00F2620E"/>
    <w:rsid w:val="00F2733E"/>
    <w:rsid w:val="00F27836"/>
    <w:rsid w:val="00F31704"/>
    <w:rsid w:val="00F32D28"/>
    <w:rsid w:val="00F3331F"/>
    <w:rsid w:val="00F335D9"/>
    <w:rsid w:val="00F35418"/>
    <w:rsid w:val="00F35ED2"/>
    <w:rsid w:val="00F3643C"/>
    <w:rsid w:val="00F41845"/>
    <w:rsid w:val="00F41A2D"/>
    <w:rsid w:val="00F428BE"/>
    <w:rsid w:val="00F4467A"/>
    <w:rsid w:val="00F449E9"/>
    <w:rsid w:val="00F47410"/>
    <w:rsid w:val="00F47F1C"/>
    <w:rsid w:val="00F503CA"/>
    <w:rsid w:val="00F50888"/>
    <w:rsid w:val="00F53939"/>
    <w:rsid w:val="00F53DD8"/>
    <w:rsid w:val="00F55EFB"/>
    <w:rsid w:val="00F56701"/>
    <w:rsid w:val="00F56B64"/>
    <w:rsid w:val="00F56DB8"/>
    <w:rsid w:val="00F61252"/>
    <w:rsid w:val="00F61FCE"/>
    <w:rsid w:val="00F622AD"/>
    <w:rsid w:val="00F627A5"/>
    <w:rsid w:val="00F636A4"/>
    <w:rsid w:val="00F63F4E"/>
    <w:rsid w:val="00F64C80"/>
    <w:rsid w:val="00F64FBB"/>
    <w:rsid w:val="00F664CC"/>
    <w:rsid w:val="00F66D7C"/>
    <w:rsid w:val="00F67188"/>
    <w:rsid w:val="00F70D1C"/>
    <w:rsid w:val="00F71786"/>
    <w:rsid w:val="00F717A9"/>
    <w:rsid w:val="00F71987"/>
    <w:rsid w:val="00F71C99"/>
    <w:rsid w:val="00F71F41"/>
    <w:rsid w:val="00F72B4D"/>
    <w:rsid w:val="00F73573"/>
    <w:rsid w:val="00F73B05"/>
    <w:rsid w:val="00F74D70"/>
    <w:rsid w:val="00F75DD5"/>
    <w:rsid w:val="00F764FA"/>
    <w:rsid w:val="00F77296"/>
    <w:rsid w:val="00F772A0"/>
    <w:rsid w:val="00F776F9"/>
    <w:rsid w:val="00F80A47"/>
    <w:rsid w:val="00F80F89"/>
    <w:rsid w:val="00F81F87"/>
    <w:rsid w:val="00F8238B"/>
    <w:rsid w:val="00F82746"/>
    <w:rsid w:val="00F833ED"/>
    <w:rsid w:val="00F83BD1"/>
    <w:rsid w:val="00F856EC"/>
    <w:rsid w:val="00F864E8"/>
    <w:rsid w:val="00F908BB"/>
    <w:rsid w:val="00F90D67"/>
    <w:rsid w:val="00F92394"/>
    <w:rsid w:val="00F92F0B"/>
    <w:rsid w:val="00F955B8"/>
    <w:rsid w:val="00F95622"/>
    <w:rsid w:val="00F95FF6"/>
    <w:rsid w:val="00F97413"/>
    <w:rsid w:val="00FA3721"/>
    <w:rsid w:val="00FA6E7C"/>
    <w:rsid w:val="00FA7C0A"/>
    <w:rsid w:val="00FB0BBC"/>
    <w:rsid w:val="00FB2B9D"/>
    <w:rsid w:val="00FB48E9"/>
    <w:rsid w:val="00FB5AC1"/>
    <w:rsid w:val="00FC4237"/>
    <w:rsid w:val="00FC565D"/>
    <w:rsid w:val="00FC7288"/>
    <w:rsid w:val="00FC78D9"/>
    <w:rsid w:val="00FD3805"/>
    <w:rsid w:val="00FD537E"/>
    <w:rsid w:val="00FD6446"/>
    <w:rsid w:val="00FD6488"/>
    <w:rsid w:val="00FE5491"/>
    <w:rsid w:val="00FE6536"/>
    <w:rsid w:val="00FE67A4"/>
    <w:rsid w:val="00FE7AA5"/>
    <w:rsid w:val="00FF0A56"/>
    <w:rsid w:val="00FF18A8"/>
    <w:rsid w:val="00FF1B49"/>
    <w:rsid w:val="00FF3CB6"/>
    <w:rsid w:val="00FF3D21"/>
    <w:rsid w:val="00FF4D41"/>
    <w:rsid w:val="00FF4D98"/>
    <w:rsid w:val="00FF5EA7"/>
    <w:rsid w:val="00FF6EF3"/>
    <w:rsid w:val="00FF7D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C9C6CA3"/>
  <w14:defaultImageDpi w14:val="330"/>
  <w15:docId w15:val="{DED007BC-7E06-4923-A7C9-73528CDD3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qFormat="1"/>
    <w:lsdException w:name="heading 1" w:uiPriority="5" w:qFormat="1"/>
    <w:lsdException w:name="heading 2" w:uiPriority="5" w:qFormat="1"/>
    <w:lsdException w:name="heading 3" w:uiPriority="5" w:qFormat="1"/>
    <w:lsdException w:name="heading 4" w:semiHidden="1" w:uiPriority="6" w:unhideWhenUsed="1" w:qFormat="1"/>
    <w:lsdException w:name="heading 5" w:semiHidden="1" w:uiPriority="6" w:unhideWhenUsed="1" w:qFormat="1"/>
    <w:lsdException w:name="heading 6" w:semiHidden="1" w:uiPriority="6" w:unhideWhenUsed="1" w:qFormat="1"/>
    <w:lsdException w:name="heading 7" w:semiHidden="1" w:uiPriority="6"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6D1957"/>
    <w:pPr>
      <w:spacing w:before="240" w:after="120" w:line="240" w:lineRule="atLeast"/>
    </w:pPr>
    <w:rPr>
      <w:sz w:val="20"/>
    </w:rPr>
  </w:style>
  <w:style w:type="paragraph" w:styleId="Heading1">
    <w:name w:val="heading 1"/>
    <w:next w:val="BodyText"/>
    <w:link w:val="Heading1Char"/>
    <w:uiPriority w:val="5"/>
    <w:qFormat/>
    <w:rsid w:val="00387F36"/>
    <w:pPr>
      <w:keepNext/>
      <w:keepLines/>
      <w:numPr>
        <w:numId w:val="1"/>
      </w:numPr>
      <w:tabs>
        <w:tab w:val="left" w:pos="0"/>
      </w:tabs>
      <w:spacing w:after="460" w:line="240" w:lineRule="auto"/>
      <w:outlineLvl w:val="0"/>
    </w:pPr>
    <w:rPr>
      <w:rFonts w:asciiTheme="majorHAnsi" w:eastAsiaTheme="majorEastAsia" w:hAnsiTheme="majorHAnsi" w:cstheme="majorBidi"/>
      <w:b/>
      <w:bCs/>
      <w:sz w:val="40"/>
      <w:szCs w:val="40"/>
    </w:rPr>
  </w:style>
  <w:style w:type="paragraph" w:styleId="Heading2">
    <w:name w:val="heading 2"/>
    <w:basedOn w:val="Heading1"/>
    <w:next w:val="BodyText"/>
    <w:link w:val="Heading2Char"/>
    <w:uiPriority w:val="5"/>
    <w:qFormat/>
    <w:rsid w:val="00387F36"/>
    <w:pPr>
      <w:numPr>
        <w:ilvl w:val="1"/>
      </w:numPr>
      <w:spacing w:before="480" w:after="240"/>
      <w:outlineLvl w:val="1"/>
    </w:pPr>
    <w:rPr>
      <w:b w:val="0"/>
      <w:bCs w:val="0"/>
      <w:color w:val="1C4483" w:themeColor="accent1"/>
      <w:spacing w:val="2"/>
      <w:sz w:val="34"/>
      <w:szCs w:val="32"/>
    </w:rPr>
  </w:style>
  <w:style w:type="paragraph" w:styleId="Heading3">
    <w:name w:val="heading 3"/>
    <w:basedOn w:val="Heading2"/>
    <w:next w:val="BodyText"/>
    <w:link w:val="Heading3Char"/>
    <w:uiPriority w:val="5"/>
    <w:qFormat/>
    <w:rsid w:val="00387F36"/>
    <w:pPr>
      <w:numPr>
        <w:ilvl w:val="2"/>
      </w:numPr>
      <w:tabs>
        <w:tab w:val="clear" w:pos="0"/>
      </w:tabs>
      <w:outlineLvl w:val="2"/>
    </w:pPr>
    <w:rPr>
      <w:bCs/>
      <w:sz w:val="30"/>
      <w:szCs w:val="28"/>
    </w:rPr>
  </w:style>
  <w:style w:type="paragraph" w:styleId="Heading4">
    <w:name w:val="heading 4"/>
    <w:basedOn w:val="Heading3"/>
    <w:next w:val="BodyText"/>
    <w:link w:val="Heading4Char"/>
    <w:uiPriority w:val="6"/>
    <w:qFormat/>
    <w:rsid w:val="00387F36"/>
    <w:pPr>
      <w:numPr>
        <w:ilvl w:val="3"/>
        <w:numId w:val="4"/>
      </w:numPr>
      <w:spacing w:before="360"/>
      <w:outlineLvl w:val="3"/>
    </w:pPr>
    <w:rPr>
      <w:bCs w:val="0"/>
      <w:iCs/>
      <w:color w:val="00A2E2" w:themeColor="accent2"/>
      <w:sz w:val="28"/>
    </w:rPr>
  </w:style>
  <w:style w:type="paragraph" w:styleId="Heading5">
    <w:name w:val="heading 5"/>
    <w:basedOn w:val="Heading4"/>
    <w:next w:val="BodyText"/>
    <w:link w:val="Heading5Char"/>
    <w:uiPriority w:val="6"/>
    <w:qFormat/>
    <w:rsid w:val="00387F36"/>
    <w:pPr>
      <w:numPr>
        <w:ilvl w:val="0"/>
        <w:numId w:val="0"/>
      </w:numPr>
      <w:outlineLvl w:val="4"/>
    </w:pPr>
    <w:rPr>
      <w:rFonts w:cstheme="minorHAnsi"/>
      <w:color w:val="1C4483" w:themeColor="accent1"/>
      <w:sz w:val="26"/>
      <w:szCs w:val="24"/>
    </w:rPr>
  </w:style>
  <w:style w:type="paragraph" w:styleId="Heading6">
    <w:name w:val="heading 6"/>
    <w:basedOn w:val="Heading5"/>
    <w:next w:val="BodyText"/>
    <w:link w:val="Heading6Char"/>
    <w:uiPriority w:val="6"/>
    <w:qFormat/>
    <w:rsid w:val="00387F36"/>
    <w:pPr>
      <w:numPr>
        <w:ilvl w:val="5"/>
        <w:numId w:val="4"/>
      </w:numPr>
      <w:outlineLvl w:val="5"/>
    </w:pPr>
    <w:rPr>
      <w:iCs w:val="0"/>
      <w:color w:val="00A2E2" w:themeColor="accent2"/>
      <w:sz w:val="24"/>
      <w:szCs w:val="22"/>
    </w:rPr>
  </w:style>
  <w:style w:type="paragraph" w:styleId="Heading7">
    <w:name w:val="heading 7"/>
    <w:basedOn w:val="Heading1"/>
    <w:next w:val="BodyText"/>
    <w:link w:val="Heading7Char"/>
    <w:uiPriority w:val="6"/>
    <w:qFormat/>
    <w:rsid w:val="00387F36"/>
    <w:pPr>
      <w:numPr>
        <w:numId w:val="0"/>
      </w:numPr>
      <w:tabs>
        <w:tab w:val="left" w:pos="2552"/>
      </w:tabs>
      <w:spacing w:before="360" w:after="240"/>
      <w:outlineLvl w:val="6"/>
    </w:pPr>
    <w:rPr>
      <w:iCs/>
      <w:color w:val="25282A" w:themeColor="text2"/>
      <w:sz w:val="22"/>
    </w:rPr>
  </w:style>
  <w:style w:type="paragraph" w:styleId="Heading8">
    <w:name w:val="heading 8"/>
    <w:basedOn w:val="Heading7"/>
    <w:next w:val="BodyText"/>
    <w:link w:val="Heading8Char"/>
    <w:uiPriority w:val="10"/>
    <w:semiHidden/>
    <w:qFormat/>
    <w:rsid w:val="00387F36"/>
    <w:pPr>
      <w:numPr>
        <w:ilvl w:val="4"/>
      </w:numPr>
      <w:tabs>
        <w:tab w:val="clear" w:pos="2552"/>
      </w:tabs>
      <w:spacing w:before="480"/>
      <w:outlineLvl w:val="7"/>
    </w:pPr>
    <w:rPr>
      <w:sz w:val="36"/>
      <w:szCs w:val="20"/>
    </w:rPr>
  </w:style>
  <w:style w:type="paragraph" w:styleId="Heading9">
    <w:name w:val="heading 9"/>
    <w:basedOn w:val="Heading8"/>
    <w:next w:val="BodyText"/>
    <w:link w:val="Heading9Char"/>
    <w:uiPriority w:val="10"/>
    <w:semiHidden/>
    <w:qFormat/>
    <w:rsid w:val="00387F36"/>
    <w:pPr>
      <w:numPr>
        <w:ilvl w:val="0"/>
      </w:numPr>
      <w:outlineLvl w:val="8"/>
    </w:pPr>
    <w:rPr>
      <w:iCs w:val="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387F36"/>
    <w:rPr>
      <w:rFonts w:asciiTheme="majorHAnsi" w:eastAsiaTheme="majorEastAsia" w:hAnsiTheme="majorHAnsi" w:cstheme="majorBidi"/>
      <w:b/>
      <w:bCs/>
      <w:sz w:val="40"/>
      <w:szCs w:val="40"/>
    </w:rPr>
  </w:style>
  <w:style w:type="character" w:customStyle="1" w:styleId="Heading2Char">
    <w:name w:val="Heading 2 Char"/>
    <w:basedOn w:val="DefaultParagraphFont"/>
    <w:link w:val="Heading2"/>
    <w:uiPriority w:val="5"/>
    <w:rsid w:val="00387F36"/>
    <w:rPr>
      <w:rFonts w:asciiTheme="majorHAnsi" w:eastAsiaTheme="majorEastAsia" w:hAnsiTheme="majorHAnsi" w:cstheme="majorBidi"/>
      <w:color w:val="1C4483" w:themeColor="accent1"/>
      <w:spacing w:val="2"/>
      <w:sz w:val="34"/>
      <w:szCs w:val="32"/>
    </w:rPr>
  </w:style>
  <w:style w:type="character" w:customStyle="1" w:styleId="Heading3Char">
    <w:name w:val="Heading 3 Char"/>
    <w:basedOn w:val="DefaultParagraphFont"/>
    <w:link w:val="Heading3"/>
    <w:uiPriority w:val="5"/>
    <w:rsid w:val="00387F36"/>
    <w:rPr>
      <w:rFonts w:asciiTheme="majorHAnsi" w:eastAsiaTheme="majorEastAsia" w:hAnsiTheme="majorHAnsi" w:cstheme="majorBidi"/>
      <w:bCs/>
      <w:color w:val="1C4483" w:themeColor="accent1"/>
      <w:spacing w:val="2"/>
      <w:sz w:val="30"/>
      <w:szCs w:val="28"/>
    </w:rPr>
  </w:style>
  <w:style w:type="paragraph" w:styleId="Caption">
    <w:name w:val="caption"/>
    <w:basedOn w:val="Normal"/>
    <w:next w:val="Object"/>
    <w:uiPriority w:val="4"/>
    <w:qFormat/>
    <w:rsid w:val="00387F36"/>
    <w:pPr>
      <w:keepNext/>
      <w:keepLines/>
      <w:spacing w:before="360" w:after="240" w:line="240" w:lineRule="auto"/>
      <w:ind w:left="1418" w:hanging="1418"/>
    </w:pPr>
    <w:rPr>
      <w:bCs/>
      <w:i/>
      <w:color w:val="25282A" w:themeColor="text2"/>
      <w:szCs w:val="20"/>
    </w:rPr>
  </w:style>
  <w:style w:type="paragraph" w:styleId="BodyText">
    <w:name w:val="Body Text"/>
    <w:basedOn w:val="Normal"/>
    <w:link w:val="BodyTextChar"/>
    <w:qFormat/>
    <w:rsid w:val="00387F36"/>
    <w:pPr>
      <w:keepLines/>
    </w:pPr>
  </w:style>
  <w:style w:type="character" w:customStyle="1" w:styleId="BodyTextChar">
    <w:name w:val="Body Text Char"/>
    <w:basedOn w:val="DefaultParagraphFont"/>
    <w:link w:val="BodyText"/>
    <w:rsid w:val="00387F36"/>
    <w:rPr>
      <w:sz w:val="20"/>
    </w:rPr>
  </w:style>
  <w:style w:type="paragraph" w:styleId="TOC1">
    <w:name w:val="toc 1"/>
    <w:basedOn w:val="Normal"/>
    <w:next w:val="BodyText"/>
    <w:uiPriority w:val="39"/>
    <w:rsid w:val="00387F36"/>
    <w:pPr>
      <w:keepLines/>
      <w:tabs>
        <w:tab w:val="left" w:pos="851"/>
        <w:tab w:val="right" w:leader="dot" w:pos="9044"/>
      </w:tabs>
      <w:spacing w:after="240"/>
      <w:ind w:left="851" w:right="1701" w:hanging="851"/>
    </w:pPr>
    <w:rPr>
      <w:noProof/>
      <w:color w:val="1C4483" w:themeColor="accent1"/>
      <w:sz w:val="22"/>
    </w:rPr>
  </w:style>
  <w:style w:type="paragraph" w:styleId="TOC2">
    <w:name w:val="toc 2"/>
    <w:basedOn w:val="TOC1"/>
    <w:next w:val="BodyText"/>
    <w:uiPriority w:val="39"/>
    <w:rsid w:val="00387F36"/>
    <w:pPr>
      <w:spacing w:before="120" w:after="60"/>
    </w:pPr>
    <w:rPr>
      <w:sz w:val="20"/>
    </w:rPr>
  </w:style>
  <w:style w:type="paragraph" w:styleId="TOC3">
    <w:name w:val="toc 3"/>
    <w:basedOn w:val="TOC2"/>
    <w:next w:val="BodyText"/>
    <w:uiPriority w:val="39"/>
    <w:rsid w:val="00387F36"/>
    <w:pPr>
      <w:tabs>
        <w:tab w:val="clear" w:pos="851"/>
        <w:tab w:val="left" w:pos="1985"/>
      </w:tabs>
      <w:spacing w:before="60"/>
      <w:ind w:left="1985" w:hanging="1134"/>
    </w:pPr>
    <w:rPr>
      <w:color w:val="auto"/>
    </w:rPr>
  </w:style>
  <w:style w:type="paragraph" w:styleId="TOC4">
    <w:name w:val="toc 4"/>
    <w:basedOn w:val="TOC1"/>
    <w:next w:val="BodyText"/>
    <w:uiPriority w:val="39"/>
    <w:rsid w:val="00387F36"/>
    <w:pPr>
      <w:tabs>
        <w:tab w:val="left" w:pos="1985"/>
      </w:tabs>
      <w:spacing w:before="20" w:after="20"/>
      <w:ind w:left="1985" w:hanging="1134"/>
    </w:pPr>
    <w:rPr>
      <w:color w:val="808080" w:themeColor="background1" w:themeShade="80"/>
    </w:rPr>
  </w:style>
  <w:style w:type="paragraph" w:styleId="TOC5">
    <w:name w:val="toc 5"/>
    <w:basedOn w:val="TOC2"/>
    <w:next w:val="BodyText"/>
    <w:uiPriority w:val="39"/>
    <w:rsid w:val="00387F36"/>
    <w:pPr>
      <w:tabs>
        <w:tab w:val="clear" w:pos="851"/>
      </w:tabs>
      <w:spacing w:before="240" w:after="120"/>
      <w:ind w:left="0" w:firstLine="0"/>
    </w:pPr>
    <w:rPr>
      <w:sz w:val="22"/>
    </w:rPr>
  </w:style>
  <w:style w:type="paragraph" w:styleId="TOC6">
    <w:name w:val="toc 6"/>
    <w:basedOn w:val="TOC3"/>
    <w:next w:val="BodyText"/>
    <w:uiPriority w:val="39"/>
    <w:rsid w:val="00387F36"/>
    <w:pPr>
      <w:tabs>
        <w:tab w:val="clear" w:pos="1985"/>
      </w:tabs>
    </w:pPr>
  </w:style>
  <w:style w:type="character" w:customStyle="1" w:styleId="Heading4Char">
    <w:name w:val="Heading 4 Char"/>
    <w:basedOn w:val="DefaultParagraphFont"/>
    <w:link w:val="Heading4"/>
    <w:uiPriority w:val="6"/>
    <w:rsid w:val="00387F36"/>
    <w:rPr>
      <w:rFonts w:asciiTheme="majorHAnsi" w:eastAsiaTheme="majorEastAsia" w:hAnsiTheme="majorHAnsi" w:cstheme="majorBidi"/>
      <w:iCs/>
      <w:color w:val="00A2E2" w:themeColor="accent2"/>
      <w:spacing w:val="2"/>
      <w:sz w:val="28"/>
      <w:szCs w:val="28"/>
    </w:rPr>
  </w:style>
  <w:style w:type="paragraph" w:styleId="TOC7">
    <w:name w:val="toc 7"/>
    <w:basedOn w:val="TOC1"/>
    <w:next w:val="BodyText"/>
    <w:uiPriority w:val="39"/>
    <w:rsid w:val="00387F36"/>
    <w:pPr>
      <w:tabs>
        <w:tab w:val="clear" w:pos="851"/>
      </w:tabs>
      <w:spacing w:before="40" w:after="20"/>
      <w:ind w:left="1985" w:firstLine="0"/>
    </w:pPr>
  </w:style>
  <w:style w:type="character" w:customStyle="1" w:styleId="Heading5Char">
    <w:name w:val="Heading 5 Char"/>
    <w:basedOn w:val="DefaultParagraphFont"/>
    <w:link w:val="Heading5"/>
    <w:uiPriority w:val="6"/>
    <w:rsid w:val="00387F36"/>
    <w:rPr>
      <w:rFonts w:asciiTheme="majorHAnsi" w:eastAsiaTheme="majorEastAsia" w:hAnsiTheme="majorHAnsi" w:cstheme="minorHAnsi"/>
      <w:iCs/>
      <w:color w:val="1C4483" w:themeColor="accent1"/>
      <w:spacing w:val="2"/>
      <w:sz w:val="26"/>
      <w:szCs w:val="24"/>
    </w:rPr>
  </w:style>
  <w:style w:type="paragraph" w:styleId="TOC8">
    <w:name w:val="toc 8"/>
    <w:basedOn w:val="TOC2"/>
    <w:next w:val="BodyText"/>
    <w:uiPriority w:val="39"/>
    <w:rsid w:val="00387F36"/>
    <w:pPr>
      <w:tabs>
        <w:tab w:val="clear" w:pos="851"/>
      </w:tabs>
      <w:spacing w:before="20" w:after="20"/>
      <w:ind w:left="2836"/>
    </w:pPr>
    <w:rPr>
      <w:color w:val="808080" w:themeColor="background1" w:themeShade="80"/>
    </w:rPr>
  </w:style>
  <w:style w:type="character" w:customStyle="1" w:styleId="Heading6Char">
    <w:name w:val="Heading 6 Char"/>
    <w:basedOn w:val="DefaultParagraphFont"/>
    <w:link w:val="Heading6"/>
    <w:uiPriority w:val="6"/>
    <w:rsid w:val="00387F36"/>
    <w:rPr>
      <w:rFonts w:asciiTheme="majorHAnsi" w:eastAsiaTheme="majorEastAsia" w:hAnsiTheme="majorHAnsi" w:cstheme="minorHAnsi"/>
      <w:color w:val="00A2E2" w:themeColor="accent2"/>
      <w:spacing w:val="2"/>
      <w:sz w:val="24"/>
    </w:rPr>
  </w:style>
  <w:style w:type="paragraph" w:styleId="TOC9">
    <w:name w:val="toc 9"/>
    <w:basedOn w:val="TOC3"/>
    <w:next w:val="BodyText"/>
    <w:uiPriority w:val="39"/>
    <w:rsid w:val="00387F36"/>
  </w:style>
  <w:style w:type="paragraph" w:styleId="TOCHeading">
    <w:name w:val="TOC Heading"/>
    <w:basedOn w:val="Heading1NoNumber"/>
    <w:next w:val="BodyText"/>
    <w:uiPriority w:val="39"/>
    <w:qFormat/>
    <w:rsid w:val="00387F36"/>
    <w:pPr>
      <w:outlineLvl w:val="9"/>
    </w:pPr>
  </w:style>
  <w:style w:type="paragraph" w:customStyle="1" w:styleId="BodyIndent2">
    <w:name w:val="Body Indent 2"/>
    <w:basedOn w:val="BodyBullet2"/>
    <w:uiPriority w:val="3"/>
    <w:qFormat/>
    <w:rsid w:val="00387F36"/>
    <w:pPr>
      <w:numPr>
        <w:ilvl w:val="0"/>
        <w:numId w:val="0"/>
      </w:numPr>
      <w:ind w:left="680"/>
    </w:pPr>
  </w:style>
  <w:style w:type="paragraph" w:customStyle="1" w:styleId="BodyIndent3">
    <w:name w:val="Body Indent 3"/>
    <w:basedOn w:val="BodyBullet3"/>
    <w:uiPriority w:val="3"/>
    <w:qFormat/>
    <w:rsid w:val="00387F36"/>
    <w:pPr>
      <w:numPr>
        <w:ilvl w:val="0"/>
        <w:numId w:val="0"/>
      </w:numPr>
      <w:ind w:left="1021"/>
    </w:pPr>
  </w:style>
  <w:style w:type="character" w:styleId="EndnoteReference">
    <w:name w:val="endnote reference"/>
    <w:basedOn w:val="DefaultParagraphFont"/>
    <w:uiPriority w:val="99"/>
    <w:qFormat/>
    <w:rsid w:val="00387F36"/>
    <w:rPr>
      <w:vertAlign w:val="superscript"/>
    </w:rPr>
  </w:style>
  <w:style w:type="paragraph" w:styleId="ListBullet">
    <w:name w:val="List Bullet"/>
    <w:basedOn w:val="BodyText"/>
    <w:uiPriority w:val="99"/>
    <w:semiHidden/>
    <w:rsid w:val="00387F36"/>
    <w:pPr>
      <w:numPr>
        <w:numId w:val="5"/>
      </w:numPr>
      <w:spacing w:before="120"/>
      <w:contextualSpacing/>
    </w:pPr>
  </w:style>
  <w:style w:type="table" w:styleId="TableGrid">
    <w:name w:val="Table Grid"/>
    <w:basedOn w:val="TableNormal"/>
    <w:uiPriority w:val="59"/>
    <w:rsid w:val="00387F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387F36"/>
    <w:pPr>
      <w:keepNext w:val="0"/>
      <w:keepLines w:val="0"/>
      <w:spacing w:before="120" w:after="360"/>
      <w:ind w:left="0" w:firstLine="0"/>
    </w:pPr>
    <w:rPr>
      <w:color w:val="808080" w:themeColor="background1" w:themeShade="80"/>
      <w:sz w:val="18"/>
      <w:szCs w:val="18"/>
    </w:rPr>
  </w:style>
  <w:style w:type="paragraph" w:styleId="ListBullet2">
    <w:name w:val="List Bullet 2"/>
    <w:basedOn w:val="ListBullet"/>
    <w:uiPriority w:val="99"/>
    <w:semiHidden/>
    <w:rsid w:val="00387F36"/>
    <w:pPr>
      <w:numPr>
        <w:ilvl w:val="1"/>
      </w:numPr>
    </w:pPr>
  </w:style>
  <w:style w:type="paragraph" w:customStyle="1" w:styleId="TableText">
    <w:name w:val="Table Text"/>
    <w:basedOn w:val="Normal"/>
    <w:uiPriority w:val="2"/>
    <w:qFormat/>
    <w:rsid w:val="00387F36"/>
    <w:pPr>
      <w:numPr>
        <w:numId w:val="10"/>
      </w:numPr>
      <w:spacing w:before="60" w:after="60" w:line="240" w:lineRule="auto"/>
    </w:pPr>
    <w:rPr>
      <w:sz w:val="18"/>
      <w:szCs w:val="20"/>
    </w:rPr>
  </w:style>
  <w:style w:type="paragraph" w:styleId="EndnoteText">
    <w:name w:val="endnote text"/>
    <w:basedOn w:val="Normal"/>
    <w:link w:val="EndnoteTextChar"/>
    <w:uiPriority w:val="99"/>
    <w:qFormat/>
    <w:rsid w:val="00387F36"/>
    <w:pPr>
      <w:spacing w:before="60" w:after="60" w:line="240" w:lineRule="auto"/>
      <w:ind w:left="340" w:hanging="340"/>
    </w:pPr>
    <w:rPr>
      <w:sz w:val="18"/>
      <w:szCs w:val="18"/>
    </w:rPr>
  </w:style>
  <w:style w:type="paragraph" w:styleId="ListBullet3">
    <w:name w:val="List Bullet 3"/>
    <w:basedOn w:val="ListBullet2"/>
    <w:uiPriority w:val="99"/>
    <w:semiHidden/>
    <w:rsid w:val="00387F36"/>
    <w:pPr>
      <w:numPr>
        <w:ilvl w:val="2"/>
      </w:numPr>
    </w:pPr>
  </w:style>
  <w:style w:type="character" w:customStyle="1" w:styleId="EndnoteTextChar">
    <w:name w:val="Endnote Text Char"/>
    <w:basedOn w:val="DefaultParagraphFont"/>
    <w:link w:val="EndnoteText"/>
    <w:uiPriority w:val="99"/>
    <w:rsid w:val="00387F36"/>
    <w:rPr>
      <w:sz w:val="18"/>
      <w:szCs w:val="18"/>
    </w:rPr>
  </w:style>
  <w:style w:type="paragraph" w:styleId="Footer">
    <w:name w:val="footer"/>
    <w:basedOn w:val="Normal"/>
    <w:link w:val="FooterChar"/>
    <w:uiPriority w:val="99"/>
    <w:qFormat/>
    <w:rsid w:val="00387F36"/>
    <w:pPr>
      <w:spacing w:before="720" w:line="240" w:lineRule="auto"/>
    </w:pPr>
    <w:rPr>
      <w:rFonts w:asciiTheme="majorHAnsi" w:hAnsiTheme="majorHAnsi" w:cstheme="minorHAnsi"/>
      <w:noProof/>
      <w:color w:val="1C4483" w:themeColor="accent1"/>
      <w:sz w:val="18"/>
      <w:szCs w:val="18"/>
    </w:rPr>
  </w:style>
  <w:style w:type="character" w:customStyle="1" w:styleId="FooterChar">
    <w:name w:val="Footer Char"/>
    <w:basedOn w:val="DefaultParagraphFont"/>
    <w:link w:val="Footer"/>
    <w:uiPriority w:val="99"/>
    <w:rsid w:val="00387F36"/>
    <w:rPr>
      <w:rFonts w:asciiTheme="majorHAnsi" w:hAnsiTheme="majorHAnsi" w:cstheme="minorHAnsi"/>
      <w:noProof/>
      <w:color w:val="1C4483" w:themeColor="accent1"/>
      <w:sz w:val="18"/>
      <w:szCs w:val="18"/>
    </w:rPr>
  </w:style>
  <w:style w:type="character" w:styleId="FootnoteReference">
    <w:name w:val="footnote reference"/>
    <w:basedOn w:val="DefaultParagraphFont"/>
    <w:uiPriority w:val="99"/>
    <w:qFormat/>
    <w:rsid w:val="00387F36"/>
    <w:rPr>
      <w:vertAlign w:val="superscript"/>
    </w:rPr>
  </w:style>
  <w:style w:type="paragraph" w:styleId="FootnoteText">
    <w:name w:val="footnote text"/>
    <w:basedOn w:val="Normal"/>
    <w:link w:val="FootnoteTextChar"/>
    <w:uiPriority w:val="99"/>
    <w:qFormat/>
    <w:rsid w:val="00387F36"/>
    <w:pPr>
      <w:spacing w:before="60" w:after="60" w:line="240" w:lineRule="auto"/>
      <w:ind w:left="340" w:hanging="340"/>
    </w:pPr>
    <w:rPr>
      <w:sz w:val="18"/>
      <w:szCs w:val="18"/>
    </w:rPr>
  </w:style>
  <w:style w:type="character" w:customStyle="1" w:styleId="FootnoteTextChar">
    <w:name w:val="Footnote Text Char"/>
    <w:basedOn w:val="DefaultParagraphFont"/>
    <w:link w:val="FootnoteText"/>
    <w:uiPriority w:val="99"/>
    <w:rsid w:val="00387F36"/>
    <w:rPr>
      <w:sz w:val="18"/>
      <w:szCs w:val="18"/>
    </w:rPr>
  </w:style>
  <w:style w:type="paragraph" w:styleId="Header">
    <w:name w:val="header"/>
    <w:basedOn w:val="Normal"/>
    <w:link w:val="HeaderChar"/>
    <w:uiPriority w:val="99"/>
    <w:qFormat/>
    <w:rsid w:val="00387F36"/>
    <w:pPr>
      <w:spacing w:before="0" w:after="680" w:line="240" w:lineRule="auto"/>
    </w:pPr>
    <w:rPr>
      <w:rFonts w:ascii="Century Gothic" w:hAnsi="Century Gothic"/>
      <w:color w:val="1C4483" w:themeColor="accent1"/>
      <w:sz w:val="24"/>
      <w:szCs w:val="18"/>
    </w:rPr>
  </w:style>
  <w:style w:type="character" w:customStyle="1" w:styleId="HeaderChar">
    <w:name w:val="Header Char"/>
    <w:basedOn w:val="DefaultParagraphFont"/>
    <w:link w:val="Header"/>
    <w:uiPriority w:val="99"/>
    <w:rsid w:val="00387F36"/>
    <w:rPr>
      <w:rFonts w:ascii="Century Gothic" w:hAnsi="Century Gothic"/>
      <w:color w:val="1C4483" w:themeColor="accent1"/>
      <w:sz w:val="24"/>
      <w:szCs w:val="18"/>
    </w:rPr>
  </w:style>
  <w:style w:type="character" w:styleId="Hyperlink">
    <w:name w:val="Hyperlink"/>
    <w:basedOn w:val="DefaultParagraphFont"/>
    <w:uiPriority w:val="99"/>
    <w:qFormat/>
    <w:rsid w:val="00387F36"/>
    <w:rPr>
      <w:color w:val="7F7F7F" w:themeColor="text1" w:themeTint="80"/>
    </w:rPr>
  </w:style>
  <w:style w:type="paragraph" w:styleId="ListNumber">
    <w:name w:val="List Number"/>
    <w:basedOn w:val="BodyText"/>
    <w:uiPriority w:val="99"/>
    <w:semiHidden/>
    <w:rsid w:val="00387F36"/>
    <w:pPr>
      <w:numPr>
        <w:numId w:val="6"/>
      </w:numPr>
      <w:contextualSpacing/>
    </w:pPr>
  </w:style>
  <w:style w:type="paragraph" w:styleId="ListNumber2">
    <w:name w:val="List Number 2"/>
    <w:basedOn w:val="ListNumber"/>
    <w:uiPriority w:val="99"/>
    <w:semiHidden/>
    <w:rsid w:val="00387F36"/>
    <w:pPr>
      <w:numPr>
        <w:numId w:val="7"/>
      </w:numPr>
    </w:pPr>
  </w:style>
  <w:style w:type="paragraph" w:styleId="ListNumber3">
    <w:name w:val="List Number 3"/>
    <w:basedOn w:val="List2"/>
    <w:uiPriority w:val="99"/>
    <w:semiHidden/>
    <w:rsid w:val="00387F36"/>
    <w:pPr>
      <w:numPr>
        <w:numId w:val="8"/>
      </w:numPr>
    </w:pPr>
  </w:style>
  <w:style w:type="character" w:styleId="PageNumber">
    <w:name w:val="page number"/>
    <w:basedOn w:val="DefaultParagraphFont"/>
    <w:uiPriority w:val="99"/>
    <w:semiHidden/>
    <w:rsid w:val="00387F36"/>
  </w:style>
  <w:style w:type="paragraph" w:styleId="List2">
    <w:name w:val="List 2"/>
    <w:basedOn w:val="Normal"/>
    <w:uiPriority w:val="99"/>
    <w:semiHidden/>
    <w:rsid w:val="00387F36"/>
    <w:pPr>
      <w:ind w:left="566" w:hanging="283"/>
      <w:contextualSpacing/>
    </w:pPr>
    <w:rPr>
      <w:sz w:val="22"/>
    </w:rPr>
  </w:style>
  <w:style w:type="paragraph" w:styleId="TableofFigures">
    <w:name w:val="table of figures"/>
    <w:basedOn w:val="TOC1"/>
    <w:next w:val="BodyText"/>
    <w:uiPriority w:val="99"/>
    <w:rsid w:val="00387F36"/>
    <w:pPr>
      <w:spacing w:before="60"/>
      <w:ind w:left="1134" w:hanging="1134"/>
    </w:pPr>
    <w:rPr>
      <w:color w:val="000000" w:themeColor="text1"/>
    </w:rPr>
  </w:style>
  <w:style w:type="character" w:customStyle="1" w:styleId="Heading7Char">
    <w:name w:val="Heading 7 Char"/>
    <w:basedOn w:val="DefaultParagraphFont"/>
    <w:link w:val="Heading7"/>
    <w:uiPriority w:val="6"/>
    <w:rsid w:val="00387F36"/>
    <w:rPr>
      <w:rFonts w:asciiTheme="majorHAnsi" w:eastAsiaTheme="majorEastAsia" w:hAnsiTheme="majorHAnsi" w:cstheme="majorBidi"/>
      <w:b/>
      <w:bCs/>
      <w:iCs/>
      <w:color w:val="25282A" w:themeColor="text2"/>
      <w:szCs w:val="40"/>
    </w:rPr>
  </w:style>
  <w:style w:type="paragraph" w:customStyle="1" w:styleId="TableBullet1">
    <w:name w:val="Table Bullet 1"/>
    <w:basedOn w:val="TableText"/>
    <w:uiPriority w:val="7"/>
    <w:qFormat/>
    <w:rsid w:val="00387F36"/>
    <w:pPr>
      <w:numPr>
        <w:numId w:val="9"/>
      </w:numPr>
    </w:pPr>
  </w:style>
  <w:style w:type="paragraph" w:customStyle="1" w:styleId="TableBullet2">
    <w:name w:val="Table Bullet 2"/>
    <w:basedOn w:val="TableBullet1"/>
    <w:uiPriority w:val="7"/>
    <w:qFormat/>
    <w:rsid w:val="00387F36"/>
    <w:pPr>
      <w:numPr>
        <w:ilvl w:val="1"/>
      </w:numPr>
    </w:pPr>
  </w:style>
  <w:style w:type="paragraph" w:customStyle="1" w:styleId="BodyNumbering1">
    <w:name w:val="Body Numbering 1"/>
    <w:basedOn w:val="BodyBullet1"/>
    <w:uiPriority w:val="9"/>
    <w:qFormat/>
    <w:rsid w:val="00387F36"/>
    <w:pPr>
      <w:numPr>
        <w:ilvl w:val="6"/>
        <w:numId w:val="4"/>
      </w:numPr>
    </w:pPr>
  </w:style>
  <w:style w:type="paragraph" w:customStyle="1" w:styleId="BodyNumbering2">
    <w:name w:val="Body Numbering 2"/>
    <w:basedOn w:val="BodyNumbering1"/>
    <w:uiPriority w:val="9"/>
    <w:qFormat/>
    <w:rsid w:val="00387F36"/>
    <w:pPr>
      <w:numPr>
        <w:ilvl w:val="0"/>
        <w:numId w:val="0"/>
      </w:numPr>
    </w:pPr>
  </w:style>
  <w:style w:type="paragraph" w:customStyle="1" w:styleId="BodyBullet1">
    <w:name w:val="Body Bullet 1"/>
    <w:basedOn w:val="BodyText"/>
    <w:uiPriority w:val="1"/>
    <w:qFormat/>
    <w:rsid w:val="00387F36"/>
    <w:pPr>
      <w:numPr>
        <w:numId w:val="3"/>
      </w:numPr>
      <w:spacing w:before="120"/>
    </w:pPr>
  </w:style>
  <w:style w:type="paragraph" w:customStyle="1" w:styleId="BodyBullet2">
    <w:name w:val="Body Bullet 2"/>
    <w:basedOn w:val="BodyBullet1"/>
    <w:uiPriority w:val="1"/>
    <w:qFormat/>
    <w:rsid w:val="00387F36"/>
    <w:pPr>
      <w:numPr>
        <w:ilvl w:val="1"/>
      </w:numPr>
    </w:pPr>
  </w:style>
  <w:style w:type="paragraph" w:customStyle="1" w:styleId="BodyBullet3">
    <w:name w:val="Body Bullet 3"/>
    <w:basedOn w:val="BodyBullet2"/>
    <w:uiPriority w:val="1"/>
    <w:qFormat/>
    <w:rsid w:val="00387F36"/>
    <w:pPr>
      <w:numPr>
        <w:ilvl w:val="2"/>
      </w:numPr>
    </w:pPr>
  </w:style>
  <w:style w:type="paragraph" w:customStyle="1" w:styleId="BodyNumbering3">
    <w:name w:val="Body Numbering 3"/>
    <w:basedOn w:val="BodyNumbering2"/>
    <w:uiPriority w:val="9"/>
    <w:qFormat/>
    <w:rsid w:val="00387F36"/>
    <w:pPr>
      <w:numPr>
        <w:ilvl w:val="8"/>
        <w:numId w:val="4"/>
      </w:numPr>
    </w:pPr>
  </w:style>
  <w:style w:type="paragraph" w:customStyle="1" w:styleId="BodyIndent1">
    <w:name w:val="Body Indent 1"/>
    <w:basedOn w:val="BodyBullet1"/>
    <w:uiPriority w:val="8"/>
    <w:qFormat/>
    <w:rsid w:val="00387F36"/>
    <w:pPr>
      <w:numPr>
        <w:numId w:val="0"/>
      </w:numPr>
      <w:ind w:left="340"/>
    </w:pPr>
  </w:style>
  <w:style w:type="paragraph" w:customStyle="1" w:styleId="TableBullet3">
    <w:name w:val="Table Bullet 3"/>
    <w:basedOn w:val="TableBullet2"/>
    <w:uiPriority w:val="7"/>
    <w:qFormat/>
    <w:rsid w:val="00387F36"/>
    <w:pPr>
      <w:numPr>
        <w:ilvl w:val="2"/>
      </w:numPr>
    </w:pPr>
  </w:style>
  <w:style w:type="paragraph" w:customStyle="1" w:styleId="TableNumbering1">
    <w:name w:val="Table Numbering 1"/>
    <w:basedOn w:val="TableBullet1"/>
    <w:uiPriority w:val="8"/>
    <w:qFormat/>
    <w:rsid w:val="00387F36"/>
    <w:pPr>
      <w:numPr>
        <w:numId w:val="11"/>
      </w:numPr>
    </w:pPr>
  </w:style>
  <w:style w:type="paragraph" w:customStyle="1" w:styleId="TableNumbering2">
    <w:name w:val="Table Numbering 2"/>
    <w:basedOn w:val="TableNumbering1"/>
    <w:uiPriority w:val="8"/>
    <w:qFormat/>
    <w:rsid w:val="00387F36"/>
    <w:pPr>
      <w:numPr>
        <w:ilvl w:val="1"/>
      </w:numPr>
    </w:pPr>
  </w:style>
  <w:style w:type="paragraph" w:customStyle="1" w:styleId="TableNumbering3">
    <w:name w:val="Table Numbering 3"/>
    <w:basedOn w:val="TableNumbering2"/>
    <w:uiPriority w:val="8"/>
    <w:qFormat/>
    <w:rsid w:val="00387F36"/>
    <w:pPr>
      <w:numPr>
        <w:ilvl w:val="2"/>
      </w:numPr>
    </w:pPr>
  </w:style>
  <w:style w:type="paragraph" w:customStyle="1" w:styleId="TableIndent1">
    <w:name w:val="Table Indent 1"/>
    <w:basedOn w:val="TableBullet1"/>
    <w:uiPriority w:val="9"/>
    <w:qFormat/>
    <w:rsid w:val="00387F36"/>
    <w:pPr>
      <w:numPr>
        <w:numId w:val="0"/>
      </w:numPr>
      <w:ind w:left="340"/>
    </w:pPr>
  </w:style>
  <w:style w:type="paragraph" w:customStyle="1" w:styleId="TableIndent2">
    <w:name w:val="Table Indent 2"/>
    <w:basedOn w:val="TableBullet2"/>
    <w:uiPriority w:val="9"/>
    <w:qFormat/>
    <w:rsid w:val="00387F36"/>
    <w:pPr>
      <w:numPr>
        <w:ilvl w:val="0"/>
        <w:numId w:val="0"/>
      </w:numPr>
      <w:ind w:left="680"/>
    </w:pPr>
  </w:style>
  <w:style w:type="paragraph" w:customStyle="1" w:styleId="TableIndent3">
    <w:name w:val="Table Indent 3"/>
    <w:basedOn w:val="TableBullet3"/>
    <w:uiPriority w:val="9"/>
    <w:qFormat/>
    <w:rsid w:val="00387F36"/>
    <w:pPr>
      <w:numPr>
        <w:ilvl w:val="0"/>
        <w:numId w:val="0"/>
      </w:numPr>
      <w:ind w:left="1021"/>
    </w:pPr>
  </w:style>
  <w:style w:type="table" w:customStyle="1" w:styleId="MainTableStyle">
    <w:name w:val="Main Table Style"/>
    <w:basedOn w:val="TableNormal"/>
    <w:uiPriority w:val="99"/>
    <w:rsid w:val="00387F36"/>
    <w:pPr>
      <w:spacing w:after="0" w:line="240" w:lineRule="auto"/>
    </w:pPr>
    <w:rPr>
      <w:sz w:val="20"/>
    </w:rPr>
    <w:tblPr>
      <w:tblBorders>
        <w:top w:val="single" w:sz="4" w:space="0" w:color="8B9499" w:themeColor="text2" w:themeTint="80"/>
        <w:bottom w:val="single" w:sz="4" w:space="0" w:color="8B9499" w:themeColor="text2" w:themeTint="80"/>
        <w:insideH w:val="single" w:sz="4" w:space="0" w:color="8B9499" w:themeColor="text2" w:themeTint="80"/>
        <w:insideV w:val="single" w:sz="4" w:space="0" w:color="8B9499" w:themeColor="text2" w:themeTint="80"/>
      </w:tblBorders>
    </w:tblPr>
    <w:tblStylePr w:type="firstRow">
      <w:pPr>
        <w:keepNext/>
        <w:keepLines/>
        <w:widowControl/>
        <w:wordWrap/>
        <w:jc w:val="left"/>
      </w:pPr>
      <w:rPr>
        <w:b w:val="0"/>
        <w:color w:val="FFFFFF" w:themeColor="background1"/>
      </w:rPr>
      <w:tblPr/>
      <w:trPr>
        <w:cantSplit/>
        <w:tblHeader/>
      </w:trPr>
      <w:tcPr>
        <w:tc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nil"/>
          <w:insideV w:val="single" w:sz="4" w:space="0" w:color="FFFFFF" w:themeColor="background1"/>
          <w:tl2br w:val="nil"/>
          <w:tr2bl w:val="nil"/>
        </w:tcBorders>
        <w:shd w:val="clear" w:color="auto" w:fill="1C4483" w:themeFill="accent1"/>
        <w:vAlign w:val="bottom"/>
      </w:tcPr>
    </w:tblStylePr>
    <w:tblStylePr w:type="lastRow">
      <w:pPr>
        <w:keepLines/>
        <w:widowControl/>
        <w:wordWrap/>
        <w:jc w:val="left"/>
      </w:pPr>
      <w:rPr>
        <w:b/>
      </w:rPr>
      <w:tblPr/>
      <w:tcPr>
        <w:tcBorders>
          <w:top w:val="single" w:sz="4" w:space="0" w:color="1C4483" w:themeColor="accent1"/>
          <w:left w:val="nil"/>
          <w:bottom w:val="single" w:sz="4" w:space="0" w:color="1C4483" w:themeColor="accent1"/>
          <w:right w:val="nil"/>
          <w:insideH w:val="single" w:sz="4" w:space="0" w:color="1C4483" w:themeColor="accent1"/>
          <w:insideV w:val="single" w:sz="4" w:space="0" w:color="8B9499" w:themeColor="text2" w:themeTint="80"/>
          <w:tl2br w:val="nil"/>
          <w:tr2bl w:val="nil"/>
        </w:tcBorders>
        <w:shd w:val="clear" w:color="auto" w:fill="C5C9CC" w:themeFill="text2" w:themeFillTint="40"/>
      </w:tcPr>
    </w:tblStylePr>
    <w:tblStylePr w:type="firstCol">
      <w:tblPr/>
      <w:tcPr>
        <w:tcBorders>
          <w:top w:val="single" w:sz="4" w:space="0" w:color="8B9499" w:themeColor="text2" w:themeTint="80"/>
          <w:left w:val="nil"/>
          <w:bottom w:val="single" w:sz="4" w:space="0" w:color="8B9499" w:themeColor="text2" w:themeTint="80"/>
          <w:right w:val="nil"/>
          <w:insideH w:val="single" w:sz="4" w:space="0" w:color="8B9499" w:themeColor="text2" w:themeTint="80"/>
          <w:insideV w:val="nil"/>
          <w:tl2br w:val="nil"/>
          <w:tr2bl w:val="nil"/>
        </w:tcBorders>
        <w:shd w:val="clear" w:color="auto" w:fill="E7E9EA" w:themeFill="text2" w:themeFillTint="1A"/>
      </w:tcPr>
    </w:tblStylePr>
  </w:style>
  <w:style w:type="paragraph" w:customStyle="1" w:styleId="BodyTextSingleSpacing">
    <w:name w:val="Body Text Single Spacing"/>
    <w:basedOn w:val="BodyText"/>
    <w:uiPriority w:val="14"/>
    <w:qFormat/>
    <w:rsid w:val="00387F36"/>
    <w:pPr>
      <w:spacing w:before="0" w:after="0"/>
    </w:pPr>
  </w:style>
  <w:style w:type="table" w:customStyle="1" w:styleId="RowMainTableStyle">
    <w:name w:val="Row Main Table Style"/>
    <w:basedOn w:val="TableNormal"/>
    <w:uiPriority w:val="99"/>
    <w:rsid w:val="00387F36"/>
    <w:pPr>
      <w:spacing w:after="0" w:line="240" w:lineRule="auto"/>
    </w:pPr>
    <w:rPr>
      <w:sz w:val="20"/>
    </w:rPr>
    <w:tblPr>
      <w:tblBorders>
        <w:top w:val="single" w:sz="4" w:space="0" w:color="8B9499" w:themeColor="text2" w:themeTint="80"/>
        <w:bottom w:val="single" w:sz="4" w:space="0" w:color="8B9499" w:themeColor="text2" w:themeTint="80"/>
        <w:insideH w:val="single" w:sz="4" w:space="0" w:color="8B9499" w:themeColor="text2" w:themeTint="80"/>
        <w:insideV w:val="single" w:sz="4" w:space="0" w:color="8B9499" w:themeColor="text2" w:themeTint="80"/>
      </w:tblBorders>
    </w:tblPr>
    <w:tblStylePr w:type="firstRow">
      <w:pPr>
        <w:keepNext/>
        <w:keepLines/>
        <w:widowControl/>
        <w:wordWrap/>
        <w:jc w:val="left"/>
      </w:pPr>
      <w:rPr>
        <w:b w:val="0"/>
        <w:i w:val="0"/>
        <w:color w:val="1C4483" w:themeColor="accent1"/>
      </w:rPr>
      <w:tblPr/>
      <w:trPr>
        <w:tblHeader/>
      </w:trPr>
      <w:tcPr>
        <w:tcBorders>
          <w:top w:val="nil"/>
          <w:left w:val="nil"/>
          <w:bottom w:val="single" w:sz="12" w:space="0" w:color="1C4483" w:themeColor="accent1"/>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shd w:val="clear" w:color="auto" w:fill="E7E9EA" w:themeFill="text2" w:themeFillTint="1A"/>
      </w:tcPr>
    </w:tblStylePr>
    <w:tblStylePr w:type="firstCol">
      <w:pPr>
        <w:keepLines w:val="0"/>
        <w:widowControl/>
        <w:wordWrap/>
      </w:pPr>
      <w:rPr>
        <w:b w:val="0"/>
        <w:i w:val="0"/>
        <w:color w:val="1C4483" w:themeColor="accent1"/>
      </w:rPr>
      <w:tblPr/>
      <w:tcPr>
        <w:tcBorders>
          <w:top w:val="single" w:sz="4" w:space="0" w:color="8B9499" w:themeColor="text2" w:themeTint="80"/>
          <w:left w:val="nil"/>
          <w:bottom w:val="single" w:sz="4" w:space="0" w:color="8B9499" w:themeColor="text2" w:themeTint="80"/>
          <w:right w:val="nil"/>
          <w:insideH w:val="single" w:sz="4" w:space="0" w:color="8B9499" w:themeColor="text2" w:themeTint="80"/>
          <w:insideV w:val="nil"/>
          <w:tl2br w:val="nil"/>
          <w:tr2bl w:val="nil"/>
        </w:tcBorders>
        <w:shd w:val="clear" w:color="auto" w:fill="C5C9CC" w:themeFill="text2" w:themeFillTint="40"/>
      </w:tcPr>
    </w:tblStylePr>
  </w:style>
  <w:style w:type="character" w:customStyle="1" w:styleId="CharacterStyle-BaseColour">
    <w:name w:val="Character Style - Base Colour"/>
    <w:basedOn w:val="DefaultParagraphFont"/>
    <w:uiPriority w:val="99"/>
    <w:qFormat/>
    <w:rsid w:val="00387F36"/>
    <w:rPr>
      <w:color w:val="1C4483" w:themeColor="accent1"/>
    </w:rPr>
  </w:style>
  <w:style w:type="character" w:customStyle="1" w:styleId="CharacterStyle-BrightColour">
    <w:name w:val="Character Style - Bright Colour"/>
    <w:uiPriority w:val="99"/>
    <w:qFormat/>
    <w:rsid w:val="00387F36"/>
    <w:rPr>
      <w:color w:val="00A2E2" w:themeColor="accent2"/>
    </w:rPr>
  </w:style>
  <w:style w:type="paragraph" w:customStyle="1" w:styleId="CoverTitle">
    <w:name w:val="Cover Title"/>
    <w:basedOn w:val="Normal"/>
    <w:next w:val="CoverSubtitle"/>
    <w:uiPriority w:val="99"/>
    <w:qFormat/>
    <w:rsid w:val="00387F36"/>
    <w:pPr>
      <w:spacing w:before="2040"/>
    </w:pPr>
    <w:rPr>
      <w:rFonts w:asciiTheme="majorHAnsi" w:hAnsiTheme="majorHAnsi"/>
      <w:color w:val="25282A" w:themeColor="text2"/>
      <w:sz w:val="96"/>
    </w:rPr>
  </w:style>
  <w:style w:type="paragraph" w:customStyle="1" w:styleId="CoverSubtitle">
    <w:name w:val="Cover Subtitle"/>
    <w:basedOn w:val="Normal"/>
    <w:next w:val="CoverDate"/>
    <w:uiPriority w:val="99"/>
    <w:qFormat/>
    <w:rsid w:val="00387F36"/>
    <w:pPr>
      <w:spacing w:after="480"/>
    </w:pPr>
    <w:rPr>
      <w:rFonts w:asciiTheme="majorHAnsi" w:hAnsiTheme="majorHAnsi"/>
      <w:color w:val="1C4483" w:themeColor="accent1"/>
      <w:sz w:val="72"/>
      <w:szCs w:val="76"/>
    </w:rPr>
  </w:style>
  <w:style w:type="paragraph" w:customStyle="1" w:styleId="CoverDate">
    <w:name w:val="Cover Date"/>
    <w:basedOn w:val="Normal"/>
    <w:next w:val="BodyText"/>
    <w:uiPriority w:val="99"/>
    <w:qFormat/>
    <w:rsid w:val="00387F36"/>
    <w:rPr>
      <w:rFonts w:asciiTheme="majorHAnsi" w:hAnsiTheme="majorHAnsi"/>
      <w:color w:val="1C4483" w:themeColor="accent1"/>
      <w:sz w:val="48"/>
      <w:szCs w:val="48"/>
    </w:rPr>
  </w:style>
  <w:style w:type="paragraph" w:customStyle="1" w:styleId="Spacer">
    <w:name w:val="Spacer"/>
    <w:basedOn w:val="BodyTextSingleSpacing"/>
    <w:uiPriority w:val="99"/>
    <w:qFormat/>
    <w:rsid w:val="00387F36"/>
  </w:style>
  <w:style w:type="paragraph" w:styleId="BalloonText">
    <w:name w:val="Balloon Text"/>
    <w:basedOn w:val="Normal"/>
    <w:link w:val="BalloonTextChar"/>
    <w:uiPriority w:val="99"/>
    <w:semiHidden/>
    <w:rsid w:val="00387F3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7F36"/>
    <w:rPr>
      <w:rFonts w:ascii="Tahoma" w:hAnsi="Tahoma" w:cs="Tahoma"/>
      <w:sz w:val="16"/>
      <w:szCs w:val="16"/>
    </w:rPr>
  </w:style>
  <w:style w:type="paragraph" w:customStyle="1" w:styleId="Heading1NoNumber">
    <w:name w:val="Heading 1 No Number"/>
    <w:basedOn w:val="Heading1"/>
    <w:next w:val="BodyText"/>
    <w:uiPriority w:val="10"/>
    <w:qFormat/>
    <w:rsid w:val="00387F36"/>
    <w:pPr>
      <w:numPr>
        <w:numId w:val="0"/>
      </w:numPr>
      <w:spacing w:before="480" w:after="360"/>
    </w:pPr>
    <w:rPr>
      <w:b w:val="0"/>
      <w:color w:val="1C4483" w:themeColor="accent1"/>
    </w:rPr>
  </w:style>
  <w:style w:type="paragraph" w:styleId="Date">
    <w:name w:val="Date"/>
    <w:basedOn w:val="BodyText"/>
    <w:next w:val="BodyTextSingleSpacing"/>
    <w:link w:val="DateChar"/>
    <w:uiPriority w:val="99"/>
    <w:semiHidden/>
    <w:rsid w:val="00387F36"/>
    <w:pPr>
      <w:pageBreakBefore/>
      <w:spacing w:after="720"/>
    </w:pPr>
  </w:style>
  <w:style w:type="character" w:customStyle="1" w:styleId="DateChar">
    <w:name w:val="Date Char"/>
    <w:basedOn w:val="DefaultParagraphFont"/>
    <w:link w:val="Date"/>
    <w:uiPriority w:val="99"/>
    <w:semiHidden/>
    <w:rsid w:val="00387F36"/>
    <w:rPr>
      <w:sz w:val="20"/>
    </w:rPr>
  </w:style>
  <w:style w:type="paragraph" w:styleId="Signature">
    <w:name w:val="Signature"/>
    <w:basedOn w:val="BodyText"/>
    <w:next w:val="BodyTextSingleSpacing"/>
    <w:link w:val="SignatureChar"/>
    <w:uiPriority w:val="99"/>
    <w:semiHidden/>
    <w:rsid w:val="00387F36"/>
    <w:pPr>
      <w:keepNext/>
      <w:spacing w:before="360" w:after="360"/>
    </w:pPr>
  </w:style>
  <w:style w:type="character" w:customStyle="1" w:styleId="SignatureChar">
    <w:name w:val="Signature Char"/>
    <w:basedOn w:val="DefaultParagraphFont"/>
    <w:link w:val="Signature"/>
    <w:uiPriority w:val="99"/>
    <w:semiHidden/>
    <w:rsid w:val="00387F36"/>
    <w:rPr>
      <w:sz w:val="20"/>
    </w:rPr>
  </w:style>
  <w:style w:type="paragraph" w:customStyle="1" w:styleId="SubjectLine">
    <w:name w:val="Subject Line"/>
    <w:basedOn w:val="BodyText"/>
    <w:next w:val="BodyText"/>
    <w:semiHidden/>
    <w:rsid w:val="00387F36"/>
    <w:rPr>
      <w:b/>
      <w:caps/>
    </w:rPr>
  </w:style>
  <w:style w:type="paragraph" w:customStyle="1" w:styleId="Yourssincerely">
    <w:name w:val="Yours sincerely"/>
    <w:basedOn w:val="BodyText"/>
    <w:next w:val="Signature"/>
    <w:uiPriority w:val="99"/>
    <w:semiHidden/>
    <w:rsid w:val="00387F36"/>
    <w:pPr>
      <w:keepNext/>
    </w:pPr>
  </w:style>
  <w:style w:type="paragraph" w:customStyle="1" w:styleId="Disclaimer">
    <w:name w:val="Disclaimer"/>
    <w:basedOn w:val="Normal"/>
    <w:next w:val="BodyText"/>
    <w:semiHidden/>
    <w:rsid w:val="00387F36"/>
    <w:pPr>
      <w:spacing w:before="3000" w:line="240" w:lineRule="auto"/>
    </w:pPr>
    <w:rPr>
      <w:sz w:val="16"/>
      <w:szCs w:val="16"/>
    </w:rPr>
  </w:style>
  <w:style w:type="paragraph" w:styleId="TableofAuthorities">
    <w:name w:val="table of authorities"/>
    <w:basedOn w:val="TableofFigures"/>
    <w:next w:val="BodyText"/>
    <w:uiPriority w:val="99"/>
    <w:semiHidden/>
    <w:rsid w:val="00387F36"/>
  </w:style>
  <w:style w:type="paragraph" w:customStyle="1" w:styleId="CitationText">
    <w:name w:val="Citation Text"/>
    <w:basedOn w:val="BodyText"/>
    <w:uiPriority w:val="99"/>
    <w:qFormat/>
    <w:rsid w:val="00387F36"/>
    <w:pPr>
      <w:spacing w:before="360" w:after="360"/>
    </w:pPr>
    <w:rPr>
      <w:color w:val="00A2E2" w:themeColor="accent2"/>
      <w:sz w:val="24"/>
    </w:rPr>
  </w:style>
  <w:style w:type="character" w:customStyle="1" w:styleId="Heading8Char">
    <w:name w:val="Heading 8 Char"/>
    <w:basedOn w:val="DefaultParagraphFont"/>
    <w:link w:val="Heading8"/>
    <w:uiPriority w:val="10"/>
    <w:semiHidden/>
    <w:rsid w:val="00387F36"/>
    <w:rPr>
      <w:rFonts w:asciiTheme="majorHAnsi" w:eastAsiaTheme="majorEastAsia" w:hAnsiTheme="majorHAnsi" w:cstheme="majorBidi"/>
      <w:b/>
      <w:bCs/>
      <w:iCs/>
      <w:color w:val="25282A" w:themeColor="text2"/>
      <w:sz w:val="36"/>
      <w:szCs w:val="20"/>
    </w:rPr>
  </w:style>
  <w:style w:type="character" w:customStyle="1" w:styleId="Heading9Char">
    <w:name w:val="Heading 9 Char"/>
    <w:basedOn w:val="DefaultParagraphFont"/>
    <w:link w:val="Heading9"/>
    <w:uiPriority w:val="10"/>
    <w:semiHidden/>
    <w:rsid w:val="00387F36"/>
    <w:rPr>
      <w:rFonts w:asciiTheme="majorHAnsi" w:eastAsiaTheme="majorEastAsia" w:hAnsiTheme="majorHAnsi" w:cstheme="majorBidi"/>
      <w:b/>
      <w:bCs/>
      <w:color w:val="25282A" w:themeColor="text2"/>
      <w:sz w:val="32"/>
      <w:szCs w:val="20"/>
    </w:rPr>
  </w:style>
  <w:style w:type="paragraph" w:customStyle="1" w:styleId="Object">
    <w:name w:val="Object"/>
    <w:basedOn w:val="Normal"/>
    <w:next w:val="BodyText"/>
    <w:uiPriority w:val="99"/>
    <w:qFormat/>
    <w:rsid w:val="00387F36"/>
    <w:pPr>
      <w:spacing w:after="360" w:line="240" w:lineRule="auto"/>
    </w:pPr>
    <w:rPr>
      <w:color w:val="000000" w:themeColor="text1"/>
    </w:rPr>
  </w:style>
  <w:style w:type="character" w:styleId="PlaceholderText">
    <w:name w:val="Placeholder Text"/>
    <w:basedOn w:val="DefaultParagraphFont"/>
    <w:uiPriority w:val="99"/>
    <w:rsid w:val="00387F36"/>
    <w:rPr>
      <w:vanish w:val="0"/>
      <w:color w:val="7F7F7F" w:themeColor="text1" w:themeTint="80"/>
    </w:rPr>
  </w:style>
  <w:style w:type="paragraph" w:styleId="Quote">
    <w:name w:val="Quote"/>
    <w:basedOn w:val="BodyText"/>
    <w:next w:val="BodyText"/>
    <w:link w:val="QuoteChar"/>
    <w:uiPriority w:val="99"/>
    <w:qFormat/>
    <w:rsid w:val="00387F36"/>
    <w:pPr>
      <w:pBdr>
        <w:left w:val="single" w:sz="12" w:space="16" w:color="00A2E2" w:themeColor="accent2"/>
      </w:pBdr>
      <w:spacing w:after="240" w:line="360" w:lineRule="atLeast"/>
      <w:ind w:left="680" w:right="680"/>
    </w:pPr>
    <w:rPr>
      <w:rFonts w:asciiTheme="majorHAnsi" w:hAnsiTheme="majorHAnsi"/>
      <w:i/>
      <w:iCs/>
      <w:color w:val="00A2E2" w:themeColor="accent2"/>
      <w:sz w:val="18"/>
    </w:rPr>
  </w:style>
  <w:style w:type="character" w:customStyle="1" w:styleId="QuoteChar">
    <w:name w:val="Quote Char"/>
    <w:basedOn w:val="DefaultParagraphFont"/>
    <w:link w:val="Quote"/>
    <w:uiPriority w:val="99"/>
    <w:rsid w:val="00387F36"/>
    <w:rPr>
      <w:rFonts w:asciiTheme="majorHAnsi" w:hAnsiTheme="majorHAnsi"/>
      <w:i/>
      <w:iCs/>
      <w:color w:val="00A2E2" w:themeColor="accent2"/>
      <w:sz w:val="18"/>
    </w:rPr>
  </w:style>
  <w:style w:type="paragraph" w:customStyle="1" w:styleId="PageNo">
    <w:name w:val="Page No"/>
    <w:basedOn w:val="Normal"/>
    <w:link w:val="PageNoChar"/>
    <w:uiPriority w:val="99"/>
    <w:qFormat/>
    <w:rsid w:val="00387F36"/>
    <w:pPr>
      <w:spacing w:before="860" w:line="240" w:lineRule="auto"/>
      <w:jc w:val="right"/>
    </w:pPr>
    <w:rPr>
      <w:rFonts w:asciiTheme="majorHAnsi" w:hAnsiTheme="majorHAnsi" w:cstheme="minorHAnsi"/>
      <w:noProof/>
      <w:color w:val="1C4483" w:themeColor="accent1"/>
      <w:sz w:val="18"/>
      <w:szCs w:val="18"/>
    </w:rPr>
  </w:style>
  <w:style w:type="paragraph" w:customStyle="1" w:styleId="TableHeadingWhiteFont">
    <w:name w:val="Table Heading White Font"/>
    <w:basedOn w:val="TableText"/>
    <w:uiPriority w:val="16"/>
    <w:qFormat/>
    <w:rsid w:val="00387F36"/>
    <w:rPr>
      <w:color w:val="FFFFFF" w:themeColor="background1"/>
    </w:rPr>
  </w:style>
  <w:style w:type="character" w:customStyle="1" w:styleId="PageNoChar">
    <w:name w:val="Page No Char"/>
    <w:basedOn w:val="FooterChar"/>
    <w:link w:val="PageNo"/>
    <w:uiPriority w:val="99"/>
    <w:rsid w:val="00387F36"/>
    <w:rPr>
      <w:rFonts w:asciiTheme="majorHAnsi" w:hAnsiTheme="majorHAnsi" w:cstheme="minorHAnsi"/>
      <w:noProof/>
      <w:color w:val="1C4483" w:themeColor="accent1"/>
      <w:sz w:val="18"/>
      <w:szCs w:val="18"/>
    </w:rPr>
  </w:style>
  <w:style w:type="character" w:customStyle="1" w:styleId="Footerbarspacer">
    <w:name w:val="Footer bar spacer"/>
    <w:basedOn w:val="DefaultParagraphFont"/>
    <w:uiPriority w:val="1"/>
    <w:qFormat/>
    <w:rsid w:val="00387F36"/>
    <w:rPr>
      <w:color w:val="808080" w:themeColor="background1" w:themeShade="80"/>
      <w:spacing w:val="20"/>
    </w:rPr>
  </w:style>
  <w:style w:type="character" w:customStyle="1" w:styleId="Highlight">
    <w:name w:val="_Highlight"/>
    <w:basedOn w:val="DefaultParagraphFont"/>
    <w:uiPriority w:val="4"/>
    <w:qFormat/>
    <w:rsid w:val="00387F36"/>
    <w:rPr>
      <w:bdr w:val="none" w:sz="0" w:space="0" w:color="auto"/>
      <w:shd w:val="clear" w:color="auto" w:fill="FFFF00"/>
    </w:rPr>
  </w:style>
  <w:style w:type="paragraph" w:customStyle="1" w:styleId="Heading1ChapterNumber">
    <w:name w:val="Heading 1 Chapter Number"/>
    <w:basedOn w:val="Heading1"/>
    <w:next w:val="Heading1"/>
    <w:uiPriority w:val="99"/>
    <w:qFormat/>
    <w:rsid w:val="00387F36"/>
    <w:pPr>
      <w:numPr>
        <w:numId w:val="0"/>
      </w:numPr>
      <w:tabs>
        <w:tab w:val="clear" w:pos="0"/>
      </w:tabs>
      <w:spacing w:before="600" w:after="0"/>
    </w:pPr>
    <w:rPr>
      <w:b w:val="0"/>
    </w:rPr>
  </w:style>
  <w:style w:type="paragraph" w:customStyle="1" w:styleId="Chapterimage">
    <w:name w:val="Chapter image"/>
    <w:basedOn w:val="BodyText"/>
    <w:uiPriority w:val="99"/>
    <w:qFormat/>
    <w:rsid w:val="00387F36"/>
    <w:pPr>
      <w:spacing w:before="0" w:after="2800" w:line="240" w:lineRule="auto"/>
    </w:pPr>
    <w:rPr>
      <w:noProof/>
    </w:rPr>
  </w:style>
  <w:style w:type="character" w:customStyle="1" w:styleId="Removedirectformatting">
    <w:name w:val="_ Remove direct formatting"/>
    <w:basedOn w:val="Highlight"/>
    <w:uiPriority w:val="5"/>
    <w:qFormat/>
    <w:rsid w:val="00387F36"/>
    <w:rPr>
      <w:bdr w:val="none" w:sz="0" w:space="0" w:color="auto"/>
      <w:shd w:val="clear" w:color="auto" w:fill="auto"/>
    </w:rPr>
  </w:style>
  <w:style w:type="character" w:customStyle="1" w:styleId="Underline">
    <w:name w:val="_ Underline"/>
    <w:basedOn w:val="DefaultParagraphFont"/>
    <w:uiPriority w:val="9"/>
    <w:qFormat/>
    <w:rsid w:val="00387F36"/>
    <w:rPr>
      <w:u w:val="single"/>
    </w:rPr>
  </w:style>
  <w:style w:type="character" w:customStyle="1" w:styleId="Bold">
    <w:name w:val="_Bold"/>
    <w:basedOn w:val="DefaultParagraphFont"/>
    <w:uiPriority w:val="4"/>
    <w:qFormat/>
    <w:rsid w:val="00387F36"/>
    <w:rPr>
      <w:b/>
    </w:rPr>
  </w:style>
  <w:style w:type="character" w:customStyle="1" w:styleId="HighlightBlue">
    <w:name w:val="_Highlight_Blue"/>
    <w:basedOn w:val="DefaultParagraphFont"/>
    <w:uiPriority w:val="8"/>
    <w:qFormat/>
    <w:rsid w:val="00387F36"/>
    <w:rPr>
      <w:bdr w:val="none" w:sz="0" w:space="0" w:color="auto"/>
      <w:shd w:val="clear" w:color="auto" w:fill="CCFFFF"/>
    </w:rPr>
  </w:style>
  <w:style w:type="character" w:customStyle="1" w:styleId="Italics">
    <w:name w:val="_Italics"/>
    <w:basedOn w:val="DefaultParagraphFont"/>
    <w:uiPriority w:val="4"/>
    <w:qFormat/>
    <w:rsid w:val="00387F36"/>
    <w:rPr>
      <w:b w:val="0"/>
      <w:i/>
    </w:rPr>
  </w:style>
  <w:style w:type="character" w:customStyle="1" w:styleId="Strikethrough">
    <w:name w:val="_Strikethrough"/>
    <w:basedOn w:val="DefaultParagraphFont"/>
    <w:uiPriority w:val="9"/>
    <w:qFormat/>
    <w:rsid w:val="00387F36"/>
    <w:rPr>
      <w:strike/>
      <w:dstrike w:val="0"/>
    </w:rPr>
  </w:style>
  <w:style w:type="character" w:customStyle="1" w:styleId="Subscript">
    <w:name w:val="_Subscript"/>
    <w:basedOn w:val="DefaultParagraphFont"/>
    <w:uiPriority w:val="9"/>
    <w:qFormat/>
    <w:rsid w:val="00387F36"/>
    <w:rPr>
      <w:vertAlign w:val="subscript"/>
    </w:rPr>
  </w:style>
  <w:style w:type="character" w:customStyle="1" w:styleId="Superscript">
    <w:name w:val="_Superscript"/>
    <w:basedOn w:val="Subscript"/>
    <w:uiPriority w:val="9"/>
    <w:qFormat/>
    <w:rsid w:val="00387F36"/>
    <w:rPr>
      <w:vertAlign w:val="superscript"/>
    </w:rPr>
  </w:style>
  <w:style w:type="character" w:customStyle="1" w:styleId="TextBlue">
    <w:name w:val="_Text Blue"/>
    <w:basedOn w:val="DefaultParagraphFont"/>
    <w:uiPriority w:val="8"/>
    <w:qFormat/>
    <w:rsid w:val="00387F36"/>
    <w:rPr>
      <w:color w:val="1C4483" w:themeColor="accent1"/>
    </w:rPr>
  </w:style>
  <w:style w:type="character" w:customStyle="1" w:styleId="TextGreen">
    <w:name w:val="_Text Green"/>
    <w:uiPriority w:val="9"/>
    <w:qFormat/>
    <w:rsid w:val="00387F36"/>
    <w:rPr>
      <w:color w:val="00A67F" w:themeColor="accent4"/>
    </w:rPr>
  </w:style>
  <w:style w:type="character" w:customStyle="1" w:styleId="TextRed">
    <w:name w:val="_Text Red"/>
    <w:basedOn w:val="DefaultParagraphFont"/>
    <w:uiPriority w:val="9"/>
    <w:qFormat/>
    <w:rsid w:val="00387F36"/>
    <w:rPr>
      <w:color w:val="C8102E" w:themeColor="accent3"/>
    </w:rPr>
  </w:style>
  <w:style w:type="paragraph" w:customStyle="1" w:styleId="AppendixHeading1">
    <w:name w:val="Appendix Heading 1"/>
    <w:basedOn w:val="Heading1"/>
    <w:next w:val="BodyText"/>
    <w:uiPriority w:val="6"/>
    <w:qFormat/>
    <w:rsid w:val="00387F36"/>
    <w:pPr>
      <w:pageBreakBefore/>
      <w:numPr>
        <w:numId w:val="2"/>
      </w:numPr>
      <w:spacing w:after="120"/>
    </w:pPr>
    <w:rPr>
      <w:b w:val="0"/>
      <w:color w:val="1C4483" w:themeColor="accent1"/>
      <w:sz w:val="32"/>
    </w:rPr>
  </w:style>
  <w:style w:type="paragraph" w:customStyle="1" w:styleId="AppendixHeading2">
    <w:name w:val="Appendix Heading 2"/>
    <w:basedOn w:val="Heading2"/>
    <w:next w:val="BodyText"/>
    <w:uiPriority w:val="6"/>
    <w:qFormat/>
    <w:rsid w:val="00387F36"/>
    <w:pPr>
      <w:numPr>
        <w:numId w:val="2"/>
      </w:numPr>
      <w:spacing w:before="240" w:after="120"/>
    </w:pPr>
    <w:rPr>
      <w:spacing w:val="0"/>
      <w:sz w:val="28"/>
    </w:rPr>
  </w:style>
  <w:style w:type="paragraph" w:customStyle="1" w:styleId="AppendixHeading3">
    <w:name w:val="Appendix Heading 3"/>
    <w:basedOn w:val="Heading3"/>
    <w:next w:val="BodyText"/>
    <w:uiPriority w:val="8"/>
    <w:qFormat/>
    <w:rsid w:val="00387F36"/>
    <w:pPr>
      <w:numPr>
        <w:numId w:val="2"/>
      </w:numPr>
      <w:spacing w:before="240" w:after="120"/>
    </w:pPr>
    <w:rPr>
      <w:color w:val="00A2E2" w:themeColor="accent2"/>
      <w:spacing w:val="0"/>
      <w:sz w:val="26"/>
    </w:rPr>
  </w:style>
  <w:style w:type="paragraph" w:customStyle="1" w:styleId="Heading2NoNumber">
    <w:name w:val="Heading 2 No Number"/>
    <w:basedOn w:val="Heading2"/>
    <w:next w:val="BodyText"/>
    <w:uiPriority w:val="99"/>
    <w:qFormat/>
    <w:rsid w:val="00387F36"/>
    <w:pPr>
      <w:numPr>
        <w:ilvl w:val="0"/>
        <w:numId w:val="0"/>
      </w:numPr>
    </w:pPr>
  </w:style>
  <w:style w:type="paragraph" w:customStyle="1" w:styleId="Heading3NoNumber">
    <w:name w:val="Heading 3 No Number"/>
    <w:basedOn w:val="Heading3"/>
    <w:next w:val="BodyText"/>
    <w:uiPriority w:val="99"/>
    <w:qFormat/>
    <w:rsid w:val="00387F36"/>
    <w:pPr>
      <w:numPr>
        <w:ilvl w:val="0"/>
        <w:numId w:val="0"/>
      </w:numPr>
    </w:pPr>
  </w:style>
  <w:style w:type="paragraph" w:customStyle="1" w:styleId="TableHeadingWhiteCentred">
    <w:name w:val="Table Heading White Centred"/>
    <w:basedOn w:val="TableHeadingWhiteFont"/>
    <w:uiPriority w:val="99"/>
    <w:qFormat/>
    <w:rsid w:val="00387F36"/>
    <w:pPr>
      <w:jc w:val="center"/>
    </w:pPr>
  </w:style>
  <w:style w:type="paragraph" w:customStyle="1" w:styleId="CalloutHeader">
    <w:name w:val="Callout Header"/>
    <w:basedOn w:val="TableText"/>
    <w:uiPriority w:val="9"/>
    <w:qFormat/>
    <w:rsid w:val="00387F36"/>
    <w:pPr>
      <w:numPr>
        <w:numId w:val="0"/>
      </w:numPr>
      <w:spacing w:before="120"/>
    </w:pPr>
    <w:rPr>
      <w:rFonts w:asciiTheme="majorHAnsi" w:hAnsiTheme="majorHAnsi"/>
      <w:color w:val="1C4483" w:themeColor="accent1"/>
      <w:sz w:val="22"/>
    </w:rPr>
  </w:style>
  <w:style w:type="paragraph" w:customStyle="1" w:styleId="HeaderEven">
    <w:name w:val="Header Even"/>
    <w:basedOn w:val="Header"/>
    <w:uiPriority w:val="99"/>
    <w:qFormat/>
    <w:rsid w:val="00387F36"/>
    <w:pPr>
      <w:pBdr>
        <w:bottom w:val="single" w:sz="4" w:space="31" w:color="1C4483" w:themeColor="accent1"/>
      </w:pBdr>
      <w:spacing w:after="600"/>
    </w:pPr>
  </w:style>
  <w:style w:type="character" w:styleId="CommentReference">
    <w:name w:val="annotation reference"/>
    <w:basedOn w:val="DefaultParagraphFont"/>
    <w:uiPriority w:val="99"/>
    <w:semiHidden/>
    <w:unhideWhenUsed/>
    <w:rsid w:val="000004DB"/>
    <w:rPr>
      <w:sz w:val="16"/>
      <w:szCs w:val="16"/>
    </w:rPr>
  </w:style>
  <w:style w:type="paragraph" w:styleId="CommentText">
    <w:name w:val="annotation text"/>
    <w:basedOn w:val="Normal"/>
    <w:link w:val="CommentTextChar"/>
    <w:uiPriority w:val="99"/>
    <w:unhideWhenUsed/>
    <w:rsid w:val="000004DB"/>
    <w:pPr>
      <w:spacing w:line="240" w:lineRule="auto"/>
    </w:pPr>
    <w:rPr>
      <w:szCs w:val="20"/>
    </w:rPr>
  </w:style>
  <w:style w:type="character" w:customStyle="1" w:styleId="CommentTextChar">
    <w:name w:val="Comment Text Char"/>
    <w:basedOn w:val="DefaultParagraphFont"/>
    <w:link w:val="CommentText"/>
    <w:uiPriority w:val="99"/>
    <w:rsid w:val="000004DB"/>
    <w:rPr>
      <w:sz w:val="20"/>
      <w:szCs w:val="20"/>
    </w:rPr>
  </w:style>
  <w:style w:type="paragraph" w:styleId="CommentSubject">
    <w:name w:val="annotation subject"/>
    <w:basedOn w:val="CommentText"/>
    <w:next w:val="CommentText"/>
    <w:link w:val="CommentSubjectChar"/>
    <w:uiPriority w:val="99"/>
    <w:semiHidden/>
    <w:unhideWhenUsed/>
    <w:rsid w:val="000004DB"/>
    <w:rPr>
      <w:b/>
      <w:bCs/>
    </w:rPr>
  </w:style>
  <w:style w:type="character" w:customStyle="1" w:styleId="CommentSubjectChar">
    <w:name w:val="Comment Subject Char"/>
    <w:basedOn w:val="CommentTextChar"/>
    <w:link w:val="CommentSubject"/>
    <w:uiPriority w:val="99"/>
    <w:semiHidden/>
    <w:rsid w:val="000004DB"/>
    <w:rPr>
      <w:b/>
      <w:bCs/>
      <w:sz w:val="20"/>
      <w:szCs w:val="20"/>
    </w:rPr>
  </w:style>
  <w:style w:type="paragraph" w:styleId="Revision">
    <w:name w:val="Revision"/>
    <w:hidden/>
    <w:uiPriority w:val="99"/>
    <w:semiHidden/>
    <w:rsid w:val="000004DB"/>
    <w:pPr>
      <w:spacing w:after="0" w:line="240" w:lineRule="auto"/>
    </w:pPr>
    <w:rPr>
      <w:sz w:val="20"/>
    </w:rPr>
  </w:style>
  <w:style w:type="character" w:styleId="UnresolvedMention">
    <w:name w:val="Unresolved Mention"/>
    <w:basedOn w:val="DefaultParagraphFont"/>
    <w:uiPriority w:val="99"/>
    <w:semiHidden/>
    <w:unhideWhenUsed/>
    <w:rsid w:val="000E7A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jpeg"/><Relationship Id="rId28" Type="http://schemas.openxmlformats.org/officeDocument/2006/relationships/theme" Target="theme/theme1.xml"/><Relationship Id="rId15" Type="http://schemas.openxmlformats.org/officeDocument/2006/relationships/footer" Target="footer1.xml"/><Relationship Id="rId23"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energy.vic.gov.au/__data/assets/pdf_file/0021/83091/EY-modelling-report-VRET.pdf" TargetMode="External"/><Relationship Id="rId2" Type="http://schemas.openxmlformats.org/officeDocument/2006/relationships/hyperlink" Target="https://earthresources.vic.gov.au/__data/assets/pdf_file/0008/457361/Statement-on-future-uses-of-brown-coal.pdf" TargetMode="External"/><Relationship Id="rId1" Type="http://schemas.openxmlformats.org/officeDocument/2006/relationships/hyperlink" Target="https://www.energy.vic.gov.au/about-energy/key-objectives" TargetMode="External"/><Relationship Id="rId5" Type="http://schemas.openxmlformats.org/officeDocument/2006/relationships/hyperlink" Target="https://www.aer.gov.au/system/files/State%20of%20the%20energy%20market%202020%20-%20Full%20report%20A4.pdf" TargetMode="External"/><Relationship Id="rId4" Type="http://schemas.openxmlformats.org/officeDocument/2006/relationships/hyperlink" Target="https://www.aer.gov.au/system/files/State%20of%20the%20energy%20market%202020%20-%20Full%20report%20A4.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trick\Documents\10%20Work\GHD\WORM\2%20Template\WORM%20Template.dotx" TargetMode="External"/></Relationships>
</file>

<file path=word/theme/theme1.xml><?xml version="1.0" encoding="utf-8"?>
<a:theme xmlns:a="http://schemas.openxmlformats.org/drawingml/2006/main" name="Office Theme">
  <a:themeElements>
    <a:clrScheme name="WORM Colours">
      <a:dk1>
        <a:sysClr val="windowText" lastClr="000000"/>
      </a:dk1>
      <a:lt1>
        <a:sysClr val="window" lastClr="FFFFFF"/>
      </a:lt1>
      <a:dk2>
        <a:srgbClr val="25282A"/>
      </a:dk2>
      <a:lt2>
        <a:srgbClr val="E7E6E6"/>
      </a:lt2>
      <a:accent1>
        <a:srgbClr val="1C4483"/>
      </a:accent1>
      <a:accent2>
        <a:srgbClr val="00A2E2"/>
      </a:accent2>
      <a:accent3>
        <a:srgbClr val="C8102E"/>
      </a:accent3>
      <a:accent4>
        <a:srgbClr val="00A67F"/>
      </a:accent4>
      <a:accent5>
        <a:srgbClr val="F36C42"/>
      </a:accent5>
      <a:accent6>
        <a:srgbClr val="845AA2"/>
      </a:accent6>
      <a:hlink>
        <a:srgbClr val="1C4483"/>
      </a:hlink>
      <a:folHlink>
        <a:srgbClr val="422D51"/>
      </a:folHlink>
    </a:clrScheme>
    <a:fontScheme name="WORM fonts">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756E766EE377C24084592FE49AF6C7E9" ma:contentTypeVersion="25" ma:contentTypeDescription="Create a new document." ma:contentTypeScope="" ma:versionID="f4ef1b8d5fb551d079405cd306b92e8e">
  <xsd:schema xmlns:xsd="http://www.w3.org/2001/XMLSchema" xmlns:xs="http://www.w3.org/2001/XMLSchema" xmlns:p="http://schemas.microsoft.com/office/2006/metadata/properties" xmlns:ns2="f3b51135-af86-4f3b-873f-8239ae52cc75" xmlns:ns3="b3d54d22-4690-4519-809a-10fa5c7eb8ca" targetNamespace="http://schemas.microsoft.com/office/2006/metadata/properties" ma:root="true" ma:fieldsID="d6c5a32ade5ba4de1bb9b46a18c35513" ns2:_="" ns3:_="">
    <xsd:import namespace="f3b51135-af86-4f3b-873f-8239ae52cc75"/>
    <xsd:import namespace="b3d54d22-4690-4519-809a-10fa5c7eb8ca"/>
    <xsd:element name="properties">
      <xsd:complexType>
        <xsd:sequence>
          <xsd:element name="documentManagement">
            <xsd:complexType>
              <xsd:all>
                <xsd:element ref="ns2:Property_x0020_Name" minOccurs="0"/>
                <xsd:element ref="ns2:Lot_x0020_on_x0020_Plan"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_Flow_SignoffStatu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51135-af86-4f3b-873f-8239ae52cc75" elementFormDefault="qualified">
    <xsd:import namespace="http://schemas.microsoft.com/office/2006/documentManagement/types"/>
    <xsd:import namespace="http://schemas.microsoft.com/office/infopath/2007/PartnerControls"/>
    <xsd:element name="Property_x0020_Name" ma:index="4" nillable="true" ma:displayName="Property Owner Name" ma:internalName="Property_x0020_Name" ma:readOnly="false">
      <xsd:simpleType>
        <xsd:restriction base="dms:Text">
          <xsd:maxLength value="255"/>
        </xsd:restriction>
      </xsd:simpleType>
    </xsd:element>
    <xsd:element name="Lot_x0020_on_x0020_Plan" ma:index="5" nillable="true" ma:displayName="Lot on Plan" ma:internalName="Lot_x0020_on_x0020_Plan" ma:readOnly="fals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3d54d22-4690-4519-809a-10fa5c7eb8ca"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ot_x0020_on_x0020_Plan xmlns="f3b51135-af86-4f3b-873f-8239ae52cc75" xsi:nil="true"/>
    <Property_x0020_Name xmlns="f3b51135-af86-4f3b-873f-8239ae52cc75" xsi:nil="true"/>
    <_Flow_SignoffStatus xmlns="f3b51135-af86-4f3b-873f-8239ae52cc75"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71E77FD-BFD2-4C37-ADDD-9AACEE2B8831}"/>
</file>

<file path=customXml/itemProps2.xml><?xml version="1.0" encoding="utf-8"?>
<ds:datastoreItem xmlns:ds="http://schemas.openxmlformats.org/officeDocument/2006/customXml" ds:itemID="{922DB2CE-A4B5-4134-AB14-5226F6A2B595}">
  <ds:schemaRefs>
    <ds:schemaRef ds:uri="http://schemas.openxmlformats.org/officeDocument/2006/bibliography"/>
  </ds:schemaRefs>
</ds:datastoreItem>
</file>

<file path=customXml/itemProps3.xml><?xml version="1.0" encoding="utf-8"?>
<ds:datastoreItem xmlns:ds="http://schemas.openxmlformats.org/officeDocument/2006/customXml" ds:itemID="{59F036AE-0ACA-46A1-90C6-1758D55EE514}"/>
</file>

<file path=customXml/itemProps4.xml><?xml version="1.0" encoding="utf-8"?>
<ds:datastoreItem xmlns:ds="http://schemas.openxmlformats.org/officeDocument/2006/customXml" ds:itemID="{82016D19-7C23-440D-9962-D12FD51F8896}">
  <ds:schemaRefs>
    <ds:schemaRef ds:uri="http://purl.org/dc/elements/1.1/"/>
    <ds:schemaRef ds:uri="http://schemas.microsoft.com/office/2006/metadata/properties"/>
    <ds:schemaRef ds:uri="580b338a-2d14-434a-a3db-04eb9fbec824"/>
    <ds:schemaRef ds:uri="b515edd4-7658-41ae-a9ea-36e04bfea53e"/>
    <ds:schemaRef ds:uri="http://purl.org/dc/terms/"/>
    <ds:schemaRef ds:uri="c0053e3c-1697-4ac4-9a83-8ee3b582d76f"/>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97259771-5060-4466-9038-B3D48DD81FE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WORM Template.dotx</Template>
  <TotalTime>113</TotalTime>
  <Pages>17</Pages>
  <Words>3915</Words>
  <Characters>21013</Characters>
  <Application>Microsoft Office Word</Application>
  <DocSecurity>0</DocSecurity>
  <Lines>339</Lines>
  <Paragraphs>123</Paragraphs>
  <ScaleCrop>false</ScaleCrop>
  <HeadingPairs>
    <vt:vector size="2" baseType="variant">
      <vt:variant>
        <vt:lpstr>Title</vt:lpstr>
      </vt:variant>
      <vt:variant>
        <vt:i4>1</vt:i4>
      </vt:variant>
    </vt:vector>
  </HeadingPairs>
  <TitlesOfParts>
    <vt:vector size="1" baseType="lpstr">
      <vt:lpstr>APA_EES Chapter 2 – Project Rationale.docx</vt:lpstr>
    </vt:vector>
  </TitlesOfParts>
  <Company/>
  <LinksUpToDate>false</LinksUpToDate>
  <CharactersWithSpaces>24831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APA_EES Chapter 2 – Project Rationale.docx</dc:title>
  <dc:subject/>
  <dc:creator>APA VTS (Operations) Pty Ltd</dc:creator>
  <cp:lastModifiedBy>APA VTS Pty Ltd</cp:lastModifiedBy>
  <cp:revision>15</cp:revision>
  <cp:lastPrinted>2021-05-17T15:48:00Z</cp:lastPrinted>
  <dcterms:created xsi:type="dcterms:W3CDTF">2021-05-02T09:13:00Z</dcterms:created>
  <dcterms:modified xsi:type="dcterms:W3CDTF">2021-06-17T02:11:00Z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0x010100756E766EE377C24084592FE49AF6C7E9</vt:lpwstr>
  </property>
  <property fmtid="{D5CDD505-2E9C-101B-9397-08002B2CF9AE}" pid="3" name="TaxKeyword">
    <vt:lpwstr/>
  </property>
  <property fmtid="{D5CDD505-2E9C-101B-9397-08002B2CF9AE}" pid="4" name="Discipline">
    <vt:lpwstr/>
  </property>
  <property fmtid="{D5CDD505-2E9C-101B-9397-08002B2CF9AE}" pid="5" name="GHDRegion">
    <vt:lpwstr>3;#Australia|4b5dc0ee-7645-4358-b0c1-3ec636294e6b</vt:lpwstr>
  </property>
  <property fmtid="{D5CDD505-2E9C-101B-9397-08002B2CF9AE}" pid="6" name="ProjectDocumentCategory">
    <vt:lpwstr>19;#(Not Categorised)|f4f9c753-b57a-44c0-a441-0f219a3b091b</vt:lpwstr>
  </property>
  <property fmtid="{D5CDD505-2E9C-101B-9397-08002B2CF9AE}" pid="7" name="GHDOperatingCentre">
    <vt:lpwstr>2;#Victoria|dac0b128-dd9a-4785-991b-62e5de2e885b</vt:lpwstr>
  </property>
  <property fmtid="{D5CDD505-2E9C-101B-9397-08002B2CF9AE}" pid="8" name="Classification">
    <vt:lpwstr>1;#Unclassified|5bcd1335-87be-43aa-9aa8-adc620b22826</vt:lpwstr>
  </property>
  <property fmtid="{D5CDD505-2E9C-101B-9397-08002B2CF9AE}" pid="9" name="ProjectDocumentType">
    <vt:lpwstr/>
  </property>
  <property fmtid="{D5CDD505-2E9C-101B-9397-08002B2CF9AE}" pid="10" name="GHDCountry">
    <vt:lpwstr/>
  </property>
  <property fmtid="{D5CDD505-2E9C-101B-9397-08002B2CF9AE}" pid="11" name="_dlc_DocIdItemGuid">
    <vt:lpwstr>d0a00aee-ff31-45a9-b2d8-75036d188219</vt:lpwstr>
  </property>
  <property fmtid="{D5CDD505-2E9C-101B-9397-08002B2CF9AE}" pid="12" name="de8d7342c5b5450c9b842a5dc64d425d">
    <vt:lpwstr>(Not Categorised)|54c8a4fd-8769-4f61-8c90-9588a1422cbc</vt:lpwstr>
  </property>
  <property fmtid="{D5CDD505-2E9C-101B-9397-08002B2CF9AE}" pid="13" name="DocumentTransfer">
    <vt:lpwstr>20;#(Not Categorised)|54c8a4fd-8769-4f61-8c90-9588a1422cbc</vt:lpwstr>
  </property>
  <property fmtid="{D5CDD505-2E9C-101B-9397-08002B2CF9AE}" pid="14" name="WPCosting">
    <vt:filetime>2021-05-10T23:56:29Z</vt:filetime>
  </property>
</Properties>
</file>