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4A474" w14:textId="092F7561" w:rsidR="00415F3B" w:rsidRPr="00415F3B" w:rsidRDefault="00B61FF8" w:rsidP="00415F3B">
      <w:pPr>
        <w:pStyle w:val="Heading2"/>
      </w:pPr>
      <w:bookmarkStart w:id="0" w:name="_Toc71731115"/>
      <w:r>
        <w:rPr>
          <w:noProof/>
        </w:rPr>
        <w:drawing>
          <wp:anchor distT="0" distB="0" distL="114300" distR="114300" simplePos="0" relativeHeight="251658240" behindDoc="0" locked="0" layoutInCell="1" allowOverlap="1" wp14:anchorId="00354CCA" wp14:editId="0592AA46">
            <wp:simplePos x="0" y="0"/>
            <wp:positionH relativeFrom="page">
              <wp:posOffset>0</wp:posOffset>
            </wp:positionH>
            <wp:positionV relativeFrom="page">
              <wp:posOffset>0</wp:posOffset>
            </wp:positionV>
            <wp:extent cx="7563485" cy="10691495"/>
            <wp:effectExtent l="0" t="0" r="0" b="0"/>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63485" cy="10691495"/>
                    </a:xfrm>
                    <a:prstGeom prst="rect">
                      <a:avLst/>
                    </a:prstGeom>
                  </pic:spPr>
                </pic:pic>
              </a:graphicData>
            </a:graphic>
            <wp14:sizeRelH relativeFrom="margin">
              <wp14:pctWidth>0</wp14:pctWidth>
            </wp14:sizeRelH>
            <wp14:sizeRelV relativeFrom="margin">
              <wp14:pctHeight>0</wp14:pctHeight>
            </wp14:sizeRelV>
          </wp:anchor>
        </w:drawing>
      </w:r>
      <w:r w:rsidR="00415F3B">
        <w:t>Executive summary</w:t>
      </w:r>
      <w:bookmarkEnd w:id="0"/>
    </w:p>
    <w:p w14:paraId="11E5BBFA" w14:textId="48CA2405" w:rsidR="00A02B5C" w:rsidRDefault="00A02B5C" w:rsidP="00A02B5C">
      <w:pPr>
        <w:pStyle w:val="Chapterimage"/>
      </w:pPr>
    </w:p>
    <w:p w14:paraId="35692463" w14:textId="77777777" w:rsidR="00E8026F" w:rsidRPr="00E8026F" w:rsidRDefault="00E8026F" w:rsidP="00A02B5C">
      <w:pPr>
        <w:pStyle w:val="Chapterimage"/>
        <w:sectPr w:rsidR="00E8026F" w:rsidRPr="00E8026F" w:rsidSect="00415F3B">
          <w:headerReference w:type="even" r:id="rId13"/>
          <w:headerReference w:type="default" r:id="rId14"/>
          <w:footerReference w:type="even" r:id="rId15"/>
          <w:footerReference w:type="default" r:id="rId16"/>
          <w:headerReference w:type="first" r:id="rId17"/>
          <w:footerReference w:type="first" r:id="rId18"/>
          <w:type w:val="oddPage"/>
          <w:pgSz w:w="11906" w:h="16838" w:code="9"/>
          <w:pgMar w:top="1418" w:right="1418" w:bottom="1418" w:left="1418" w:header="567" w:footer="567" w:gutter="0"/>
          <w:pgNumType w:chapStyle="2"/>
          <w:cols w:space="708"/>
          <w:titlePg/>
          <w:docGrid w:linePitch="360"/>
        </w:sectPr>
      </w:pPr>
    </w:p>
    <w:sdt>
      <w:sdtPr>
        <w:rPr>
          <w:rFonts w:asciiTheme="minorHAnsi" w:eastAsiaTheme="minorHAnsi" w:hAnsiTheme="minorHAnsi" w:cstheme="minorBidi"/>
          <w:bCs w:val="0"/>
          <w:noProof/>
          <w:sz w:val="20"/>
          <w:szCs w:val="22"/>
        </w:rPr>
        <w:id w:val="-278254695"/>
        <w:docPartObj>
          <w:docPartGallery w:val="Table of Contents"/>
          <w:docPartUnique/>
        </w:docPartObj>
      </w:sdtPr>
      <w:sdtEndPr/>
      <w:sdtContent>
        <w:p w14:paraId="3C2044FE" w14:textId="77777777" w:rsidR="00C81E40" w:rsidRDefault="00C81E40" w:rsidP="00C81E40">
          <w:pPr>
            <w:pStyle w:val="TOCHeading"/>
          </w:pPr>
          <w:r w:rsidRPr="00B61FF8">
            <w:t>Contents</w:t>
          </w:r>
        </w:p>
        <w:p w14:paraId="3D03A11C" w14:textId="77777777" w:rsidR="00C81E40" w:rsidRPr="00B61FF8" w:rsidRDefault="00C81E40" w:rsidP="00C81E40">
          <w:pPr>
            <w:pStyle w:val="BodyText"/>
            <w:spacing w:after="240"/>
            <w:rPr>
              <w:color w:val="1C4483" w:themeColor="accent1"/>
              <w:sz w:val="22"/>
              <w:szCs w:val="24"/>
            </w:rPr>
          </w:pPr>
          <w:r w:rsidRPr="00B61FF8">
            <w:rPr>
              <w:color w:val="1C4483" w:themeColor="accent1"/>
              <w:sz w:val="22"/>
              <w:szCs w:val="24"/>
            </w:rPr>
            <w:t>Executive summary</w:t>
          </w:r>
        </w:p>
        <w:p w14:paraId="68D55C5A" w14:textId="2E5F7D23" w:rsidR="00E02518" w:rsidRDefault="00C81E40">
          <w:pPr>
            <w:pStyle w:val="TOC3"/>
            <w:rPr>
              <w:rFonts w:eastAsiaTheme="minorEastAsia"/>
              <w:color w:val="auto"/>
              <w:sz w:val="22"/>
              <w:lang w:eastAsia="en-AU"/>
            </w:rPr>
          </w:pPr>
          <w:r w:rsidRPr="00B61FF8">
            <w:fldChar w:fldCharType="begin"/>
          </w:r>
          <w:r w:rsidRPr="00B61FF8">
            <w:instrText xml:space="preserve"> TOC \o "</w:instrText>
          </w:r>
          <w:r>
            <w:instrText>3</w:instrText>
          </w:r>
          <w:r w:rsidRPr="00B61FF8">
            <w:instrText>-</w:instrText>
          </w:r>
          <w:r>
            <w:instrText>4</w:instrText>
          </w:r>
          <w:r w:rsidRPr="00B61FF8">
            <w:instrText xml:space="preserve">" \n </w:instrText>
          </w:r>
          <w:r>
            <w:instrText>2</w:instrText>
          </w:r>
          <w:r w:rsidRPr="00B61FF8">
            <w:instrText>-</w:instrText>
          </w:r>
          <w:r>
            <w:instrText>2</w:instrText>
          </w:r>
          <w:r w:rsidRPr="00B61FF8">
            <w:instrText xml:space="preserve"> \h \z \t "Heading 1 Chapter Number,1, Heading 1 No Number,1, Heading 2 No Number,6, Heading 3 No Number,7, Heading 4 No Number,8, Appendix Heading 1,1, Appendix Heading 2,2, Appendix Heading 3,3" </w:instrText>
          </w:r>
          <w:r w:rsidRPr="00B61FF8">
            <w:fldChar w:fldCharType="separate"/>
          </w:r>
          <w:hyperlink w:anchor="_Toc74108837" w:history="1">
            <w:r w:rsidR="00E02518" w:rsidRPr="000E2037">
              <w:rPr>
                <w:rStyle w:val="Hyperlink"/>
              </w:rPr>
              <w:t>ES.1</w:t>
            </w:r>
            <w:r w:rsidR="00E02518">
              <w:rPr>
                <w:rFonts w:eastAsiaTheme="minorEastAsia"/>
                <w:color w:val="auto"/>
                <w:sz w:val="22"/>
                <w:lang w:eastAsia="en-AU"/>
              </w:rPr>
              <w:tab/>
            </w:r>
            <w:r w:rsidR="00E02518" w:rsidRPr="000E2037">
              <w:rPr>
                <w:rStyle w:val="Hyperlink"/>
              </w:rPr>
              <w:t>Introduction</w:t>
            </w:r>
            <w:r w:rsidR="00E02518">
              <w:rPr>
                <w:webHidden/>
              </w:rPr>
              <w:tab/>
            </w:r>
            <w:r w:rsidR="00E02518">
              <w:rPr>
                <w:webHidden/>
              </w:rPr>
              <w:fldChar w:fldCharType="begin"/>
            </w:r>
            <w:r w:rsidR="00E02518">
              <w:rPr>
                <w:webHidden/>
              </w:rPr>
              <w:instrText xml:space="preserve"> PAGEREF _Toc74108837 \h </w:instrText>
            </w:r>
            <w:r w:rsidR="00E02518">
              <w:rPr>
                <w:webHidden/>
              </w:rPr>
            </w:r>
            <w:r w:rsidR="00E02518">
              <w:rPr>
                <w:webHidden/>
              </w:rPr>
              <w:fldChar w:fldCharType="separate"/>
            </w:r>
            <w:r w:rsidR="00BD3E56">
              <w:rPr>
                <w:webHidden/>
              </w:rPr>
              <w:t>ES-1</w:t>
            </w:r>
            <w:r w:rsidR="00E02518">
              <w:rPr>
                <w:webHidden/>
              </w:rPr>
              <w:fldChar w:fldCharType="end"/>
            </w:r>
          </w:hyperlink>
        </w:p>
        <w:p w14:paraId="5C44C994" w14:textId="481AA581" w:rsidR="00E02518" w:rsidRPr="00307271" w:rsidRDefault="00113B39">
          <w:pPr>
            <w:pStyle w:val="TOC4"/>
            <w:rPr>
              <w:rFonts w:eastAsiaTheme="minorEastAsia"/>
              <w:color w:val="7F7F7F" w:themeColor="text1" w:themeTint="80"/>
              <w:sz w:val="22"/>
              <w:lang w:eastAsia="en-AU"/>
            </w:rPr>
          </w:pPr>
          <w:hyperlink w:anchor="_Toc74108838" w:history="1">
            <w:r w:rsidR="00E02518" w:rsidRPr="00307271">
              <w:rPr>
                <w:rStyle w:val="Hyperlink"/>
              </w:rPr>
              <w:t>ES.1.1</w:t>
            </w:r>
            <w:r w:rsidR="00E02518" w:rsidRPr="00307271">
              <w:rPr>
                <w:rFonts w:eastAsiaTheme="minorEastAsia"/>
                <w:color w:val="7F7F7F" w:themeColor="text1" w:themeTint="80"/>
                <w:sz w:val="22"/>
                <w:lang w:eastAsia="en-AU"/>
              </w:rPr>
              <w:tab/>
            </w:r>
            <w:r w:rsidR="00E02518" w:rsidRPr="00307271">
              <w:rPr>
                <w:rStyle w:val="Hyperlink"/>
              </w:rPr>
              <w:t>Project background and rationale</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_Toc74108838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ES-1</w:t>
            </w:r>
            <w:r w:rsidR="00E02518" w:rsidRPr="00307271">
              <w:rPr>
                <w:webHidden/>
                <w:color w:val="7F7F7F" w:themeColor="text1" w:themeTint="80"/>
              </w:rPr>
              <w:fldChar w:fldCharType="end"/>
            </w:r>
          </w:hyperlink>
        </w:p>
        <w:p w14:paraId="55F60749" w14:textId="20D36948" w:rsidR="00E02518" w:rsidRPr="00307271" w:rsidRDefault="00113B39">
          <w:pPr>
            <w:pStyle w:val="TOC4"/>
            <w:rPr>
              <w:rFonts w:eastAsiaTheme="minorEastAsia"/>
              <w:color w:val="7F7F7F" w:themeColor="text1" w:themeTint="80"/>
              <w:sz w:val="22"/>
              <w:lang w:eastAsia="en-AU"/>
            </w:rPr>
          </w:pPr>
          <w:hyperlink w:anchor="_Toc74108839" w:history="1">
            <w:r w:rsidR="00E02518" w:rsidRPr="00307271">
              <w:rPr>
                <w:rStyle w:val="Hyperlink"/>
              </w:rPr>
              <w:t>ES.1.2</w:t>
            </w:r>
            <w:r w:rsidR="00E02518" w:rsidRPr="00307271">
              <w:rPr>
                <w:rFonts w:eastAsiaTheme="minorEastAsia"/>
                <w:color w:val="7F7F7F" w:themeColor="text1" w:themeTint="80"/>
                <w:sz w:val="22"/>
                <w:lang w:eastAsia="en-AU"/>
              </w:rPr>
              <w:tab/>
            </w:r>
            <w:r w:rsidR="00E02518" w:rsidRPr="00307271">
              <w:rPr>
                <w:rStyle w:val="Hyperlink"/>
              </w:rPr>
              <w:t>Project objectives and benefits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_Toc74108839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ES-2</w:t>
            </w:r>
            <w:r w:rsidR="00E02518" w:rsidRPr="00307271">
              <w:rPr>
                <w:webHidden/>
                <w:color w:val="7F7F7F" w:themeColor="text1" w:themeTint="80"/>
              </w:rPr>
              <w:fldChar w:fldCharType="end"/>
            </w:r>
          </w:hyperlink>
        </w:p>
        <w:p w14:paraId="5A825129" w14:textId="20D2119F" w:rsidR="00E02518" w:rsidRDefault="00113B39">
          <w:pPr>
            <w:pStyle w:val="TOC3"/>
            <w:rPr>
              <w:rFonts w:eastAsiaTheme="minorEastAsia"/>
              <w:color w:val="auto"/>
              <w:sz w:val="22"/>
              <w:lang w:eastAsia="en-AU"/>
            </w:rPr>
          </w:pPr>
          <w:hyperlink w:anchor="_Toc74108840" w:history="1">
            <w:r w:rsidR="00E02518" w:rsidRPr="000E2037">
              <w:rPr>
                <w:rStyle w:val="Hyperlink"/>
              </w:rPr>
              <w:t>ES.2</w:t>
            </w:r>
            <w:r w:rsidR="00E02518">
              <w:rPr>
                <w:rFonts w:eastAsiaTheme="minorEastAsia"/>
                <w:color w:val="auto"/>
                <w:sz w:val="22"/>
                <w:lang w:eastAsia="en-AU"/>
              </w:rPr>
              <w:tab/>
            </w:r>
            <w:r w:rsidR="00E02518" w:rsidRPr="000E2037">
              <w:rPr>
                <w:rStyle w:val="Hyperlink"/>
              </w:rPr>
              <w:t>The Project</w:t>
            </w:r>
            <w:r w:rsidR="00E02518">
              <w:rPr>
                <w:webHidden/>
              </w:rPr>
              <w:tab/>
            </w:r>
            <w:r w:rsidR="00E02518">
              <w:rPr>
                <w:webHidden/>
              </w:rPr>
              <w:fldChar w:fldCharType="begin"/>
            </w:r>
            <w:r w:rsidR="00E02518">
              <w:rPr>
                <w:webHidden/>
              </w:rPr>
              <w:instrText xml:space="preserve"> PAGEREF _Toc74108840 \h </w:instrText>
            </w:r>
            <w:r w:rsidR="00E02518">
              <w:rPr>
                <w:webHidden/>
              </w:rPr>
            </w:r>
            <w:r w:rsidR="00E02518">
              <w:rPr>
                <w:webHidden/>
              </w:rPr>
              <w:fldChar w:fldCharType="separate"/>
            </w:r>
            <w:r w:rsidR="00BD3E56">
              <w:rPr>
                <w:webHidden/>
              </w:rPr>
              <w:t>ES-3</w:t>
            </w:r>
            <w:r w:rsidR="00E02518">
              <w:rPr>
                <w:webHidden/>
              </w:rPr>
              <w:fldChar w:fldCharType="end"/>
            </w:r>
          </w:hyperlink>
        </w:p>
        <w:p w14:paraId="54708356" w14:textId="6F3D2A2E" w:rsidR="00E02518" w:rsidRPr="00307271" w:rsidRDefault="00113B39">
          <w:pPr>
            <w:pStyle w:val="TOC4"/>
            <w:rPr>
              <w:rFonts w:eastAsiaTheme="minorEastAsia"/>
              <w:color w:val="7F7F7F" w:themeColor="text1" w:themeTint="80"/>
              <w:sz w:val="22"/>
              <w:lang w:eastAsia="en-AU"/>
            </w:rPr>
          </w:pPr>
          <w:hyperlink w:anchor="_Toc74108841" w:history="1">
            <w:r w:rsidR="00E02518" w:rsidRPr="00307271">
              <w:rPr>
                <w:rStyle w:val="Hyperlink"/>
              </w:rPr>
              <w:t>ES.2.1</w:t>
            </w:r>
            <w:r w:rsidR="00E02518" w:rsidRPr="00307271">
              <w:rPr>
                <w:rFonts w:eastAsiaTheme="minorEastAsia"/>
                <w:color w:val="7F7F7F" w:themeColor="text1" w:themeTint="80"/>
                <w:sz w:val="22"/>
                <w:lang w:eastAsia="en-AU"/>
              </w:rPr>
              <w:tab/>
            </w:r>
            <w:r w:rsidR="00E02518" w:rsidRPr="00307271">
              <w:rPr>
                <w:rStyle w:val="Hyperlink"/>
              </w:rPr>
              <w:t>Project development and alternatives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_Toc74108841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ES-3</w:t>
            </w:r>
            <w:r w:rsidR="00E02518" w:rsidRPr="00307271">
              <w:rPr>
                <w:webHidden/>
                <w:color w:val="7F7F7F" w:themeColor="text1" w:themeTint="80"/>
              </w:rPr>
              <w:fldChar w:fldCharType="end"/>
            </w:r>
          </w:hyperlink>
        </w:p>
        <w:p w14:paraId="7B6B543A" w14:textId="3A3B517A" w:rsidR="00E02518" w:rsidRPr="00307271" w:rsidRDefault="00113B39">
          <w:pPr>
            <w:pStyle w:val="TOC4"/>
            <w:rPr>
              <w:rFonts w:eastAsiaTheme="minorEastAsia"/>
              <w:color w:val="7F7F7F" w:themeColor="text1" w:themeTint="80"/>
              <w:sz w:val="22"/>
              <w:lang w:eastAsia="en-AU"/>
            </w:rPr>
          </w:pPr>
          <w:hyperlink w:anchor="_Toc74108842" w:history="1">
            <w:r w:rsidR="00E02518" w:rsidRPr="00307271">
              <w:rPr>
                <w:rStyle w:val="Hyperlink"/>
              </w:rPr>
              <w:t>ES.2.2</w:t>
            </w:r>
            <w:r w:rsidR="00E02518" w:rsidRPr="00307271">
              <w:rPr>
                <w:rFonts w:eastAsiaTheme="minorEastAsia"/>
                <w:color w:val="7F7F7F" w:themeColor="text1" w:themeTint="80"/>
                <w:sz w:val="22"/>
                <w:lang w:eastAsia="en-AU"/>
              </w:rPr>
              <w:tab/>
            </w:r>
            <w:r w:rsidR="00E02518" w:rsidRPr="00307271">
              <w:rPr>
                <w:rStyle w:val="Hyperlink"/>
              </w:rPr>
              <w:t>Construction</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_Toc74108842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ES-6</w:t>
            </w:r>
            <w:r w:rsidR="00E02518" w:rsidRPr="00307271">
              <w:rPr>
                <w:webHidden/>
                <w:color w:val="7F7F7F" w:themeColor="text1" w:themeTint="80"/>
              </w:rPr>
              <w:fldChar w:fldCharType="end"/>
            </w:r>
          </w:hyperlink>
        </w:p>
        <w:p w14:paraId="5F8B3B0A" w14:textId="062A10F1" w:rsidR="00E02518" w:rsidRPr="00307271" w:rsidRDefault="00113B39">
          <w:pPr>
            <w:pStyle w:val="TOC4"/>
            <w:rPr>
              <w:rFonts w:eastAsiaTheme="minorEastAsia"/>
              <w:color w:val="7F7F7F" w:themeColor="text1" w:themeTint="80"/>
              <w:sz w:val="22"/>
              <w:lang w:eastAsia="en-AU"/>
            </w:rPr>
          </w:pPr>
          <w:hyperlink w:anchor="_Toc74108843" w:history="1">
            <w:r w:rsidR="00E02518" w:rsidRPr="00307271">
              <w:rPr>
                <w:rStyle w:val="Hyperlink"/>
              </w:rPr>
              <w:t>ES.2.3</w:t>
            </w:r>
            <w:r w:rsidR="00E02518" w:rsidRPr="00307271">
              <w:rPr>
                <w:rFonts w:eastAsiaTheme="minorEastAsia"/>
                <w:color w:val="7F7F7F" w:themeColor="text1" w:themeTint="80"/>
                <w:sz w:val="22"/>
                <w:lang w:eastAsia="en-AU"/>
              </w:rPr>
              <w:tab/>
            </w:r>
            <w:r w:rsidR="00E02518" w:rsidRPr="00307271">
              <w:rPr>
                <w:rStyle w:val="Hyperlink"/>
              </w:rPr>
              <w:t>Rehabilitation and pipeline commissioning</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_Toc74108843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ES-7</w:t>
            </w:r>
            <w:r w:rsidR="00E02518" w:rsidRPr="00307271">
              <w:rPr>
                <w:webHidden/>
                <w:color w:val="7F7F7F" w:themeColor="text1" w:themeTint="80"/>
              </w:rPr>
              <w:fldChar w:fldCharType="end"/>
            </w:r>
          </w:hyperlink>
        </w:p>
        <w:p w14:paraId="7B64E624" w14:textId="104A33D9" w:rsidR="00E02518" w:rsidRPr="00307271" w:rsidRDefault="00113B39">
          <w:pPr>
            <w:pStyle w:val="TOC4"/>
            <w:rPr>
              <w:rFonts w:eastAsiaTheme="minorEastAsia"/>
              <w:color w:val="7F7F7F" w:themeColor="text1" w:themeTint="80"/>
              <w:sz w:val="22"/>
              <w:lang w:eastAsia="en-AU"/>
            </w:rPr>
          </w:pPr>
          <w:hyperlink w:anchor="_Toc74108844" w:history="1">
            <w:r w:rsidR="00E02518" w:rsidRPr="00307271">
              <w:rPr>
                <w:rStyle w:val="Hyperlink"/>
              </w:rPr>
              <w:t>ES.2.4</w:t>
            </w:r>
            <w:r w:rsidR="00E02518" w:rsidRPr="00307271">
              <w:rPr>
                <w:rFonts w:eastAsiaTheme="minorEastAsia"/>
                <w:color w:val="7F7F7F" w:themeColor="text1" w:themeTint="80"/>
                <w:sz w:val="22"/>
                <w:lang w:eastAsia="en-AU"/>
              </w:rPr>
              <w:tab/>
            </w:r>
            <w:r w:rsidR="00E02518" w:rsidRPr="00307271">
              <w:rPr>
                <w:rStyle w:val="Hyperlink"/>
              </w:rPr>
              <w:t>Operation and maintenance</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_Toc74108844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ES-8</w:t>
            </w:r>
            <w:r w:rsidR="00E02518" w:rsidRPr="00307271">
              <w:rPr>
                <w:webHidden/>
                <w:color w:val="7F7F7F" w:themeColor="text1" w:themeTint="80"/>
              </w:rPr>
              <w:fldChar w:fldCharType="end"/>
            </w:r>
          </w:hyperlink>
        </w:p>
        <w:p w14:paraId="68DDE86A" w14:textId="4EF8B44B" w:rsidR="00E02518" w:rsidRDefault="00113B39">
          <w:pPr>
            <w:pStyle w:val="TOC3"/>
            <w:rPr>
              <w:rFonts w:eastAsiaTheme="minorEastAsia"/>
              <w:color w:val="auto"/>
              <w:sz w:val="22"/>
              <w:lang w:eastAsia="en-AU"/>
            </w:rPr>
          </w:pPr>
          <w:hyperlink w:anchor="_Toc74108845" w:history="1">
            <w:r w:rsidR="00E02518" w:rsidRPr="000E2037">
              <w:rPr>
                <w:rStyle w:val="Hyperlink"/>
              </w:rPr>
              <w:t>ES.3</w:t>
            </w:r>
            <w:r w:rsidR="00E02518">
              <w:rPr>
                <w:rFonts w:eastAsiaTheme="minorEastAsia"/>
                <w:color w:val="auto"/>
                <w:sz w:val="22"/>
                <w:lang w:eastAsia="en-AU"/>
              </w:rPr>
              <w:tab/>
            </w:r>
            <w:r w:rsidR="00E02518" w:rsidRPr="000E2037">
              <w:rPr>
                <w:rStyle w:val="Hyperlink"/>
              </w:rPr>
              <w:t>Planning</w:t>
            </w:r>
            <w:r w:rsidR="00E02518">
              <w:rPr>
                <w:webHidden/>
              </w:rPr>
              <w:tab/>
            </w:r>
            <w:r w:rsidR="00E02518">
              <w:rPr>
                <w:webHidden/>
              </w:rPr>
              <w:fldChar w:fldCharType="begin"/>
            </w:r>
            <w:r w:rsidR="00E02518">
              <w:rPr>
                <w:webHidden/>
              </w:rPr>
              <w:instrText xml:space="preserve"> PAGEREF _Toc74108845 \h </w:instrText>
            </w:r>
            <w:r w:rsidR="00E02518">
              <w:rPr>
                <w:webHidden/>
              </w:rPr>
            </w:r>
            <w:r w:rsidR="00E02518">
              <w:rPr>
                <w:webHidden/>
              </w:rPr>
              <w:fldChar w:fldCharType="separate"/>
            </w:r>
            <w:r w:rsidR="00BD3E56">
              <w:rPr>
                <w:webHidden/>
              </w:rPr>
              <w:t>ES-8</w:t>
            </w:r>
            <w:r w:rsidR="00E02518">
              <w:rPr>
                <w:webHidden/>
              </w:rPr>
              <w:fldChar w:fldCharType="end"/>
            </w:r>
          </w:hyperlink>
        </w:p>
        <w:p w14:paraId="242A15BB" w14:textId="72B11226" w:rsidR="00E02518" w:rsidRPr="00307271" w:rsidRDefault="00113B39">
          <w:pPr>
            <w:pStyle w:val="TOC4"/>
            <w:rPr>
              <w:rFonts w:eastAsiaTheme="minorEastAsia"/>
              <w:color w:val="7F7F7F" w:themeColor="text1" w:themeTint="80"/>
              <w:sz w:val="22"/>
              <w:lang w:eastAsia="en-AU"/>
            </w:rPr>
          </w:pPr>
          <w:hyperlink w:anchor="_Toc74108846" w:history="1">
            <w:r w:rsidR="00E02518" w:rsidRPr="00307271">
              <w:rPr>
                <w:rStyle w:val="Hyperlink"/>
              </w:rPr>
              <w:t>ES.3.1</w:t>
            </w:r>
            <w:r w:rsidR="00E02518" w:rsidRPr="00307271">
              <w:rPr>
                <w:rFonts w:eastAsiaTheme="minorEastAsia"/>
                <w:color w:val="7F7F7F" w:themeColor="text1" w:themeTint="80"/>
                <w:sz w:val="22"/>
                <w:lang w:eastAsia="en-AU"/>
              </w:rPr>
              <w:tab/>
            </w:r>
            <w:r w:rsidR="00E02518" w:rsidRPr="00307271">
              <w:rPr>
                <w:rStyle w:val="Hyperlink"/>
              </w:rPr>
              <w:t>The EES process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_Toc74108846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ES-8</w:t>
            </w:r>
            <w:r w:rsidR="00E02518" w:rsidRPr="00307271">
              <w:rPr>
                <w:webHidden/>
                <w:color w:val="7F7F7F" w:themeColor="text1" w:themeTint="80"/>
              </w:rPr>
              <w:fldChar w:fldCharType="end"/>
            </w:r>
          </w:hyperlink>
        </w:p>
        <w:p w14:paraId="7D907DFF" w14:textId="6C640CBF" w:rsidR="00E02518" w:rsidRPr="00307271" w:rsidRDefault="00113B39">
          <w:pPr>
            <w:pStyle w:val="TOC4"/>
            <w:rPr>
              <w:rFonts w:eastAsiaTheme="minorEastAsia"/>
              <w:color w:val="7F7F7F" w:themeColor="text1" w:themeTint="80"/>
              <w:sz w:val="22"/>
              <w:lang w:eastAsia="en-AU"/>
            </w:rPr>
          </w:pPr>
          <w:hyperlink w:anchor="_Toc74108847" w:history="1">
            <w:r w:rsidR="00E02518" w:rsidRPr="00307271">
              <w:rPr>
                <w:rStyle w:val="Hyperlink"/>
              </w:rPr>
              <w:t>ES.3.2</w:t>
            </w:r>
            <w:r w:rsidR="00E02518" w:rsidRPr="00307271">
              <w:rPr>
                <w:rFonts w:eastAsiaTheme="minorEastAsia"/>
                <w:color w:val="7F7F7F" w:themeColor="text1" w:themeTint="80"/>
                <w:sz w:val="22"/>
                <w:lang w:eastAsia="en-AU"/>
              </w:rPr>
              <w:tab/>
            </w:r>
            <w:r w:rsidR="00E02518" w:rsidRPr="00307271">
              <w:rPr>
                <w:rStyle w:val="Hyperlink"/>
              </w:rPr>
              <w:t>Project approvals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_Toc74108847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ES-8</w:t>
            </w:r>
            <w:r w:rsidR="00E02518" w:rsidRPr="00307271">
              <w:rPr>
                <w:webHidden/>
                <w:color w:val="7F7F7F" w:themeColor="text1" w:themeTint="80"/>
              </w:rPr>
              <w:fldChar w:fldCharType="end"/>
            </w:r>
          </w:hyperlink>
        </w:p>
        <w:p w14:paraId="2B3EA263" w14:textId="0D8B7820" w:rsidR="00E02518" w:rsidRDefault="00113B39">
          <w:pPr>
            <w:pStyle w:val="TOC3"/>
            <w:rPr>
              <w:rFonts w:eastAsiaTheme="minorEastAsia"/>
              <w:color w:val="auto"/>
              <w:sz w:val="22"/>
              <w:lang w:eastAsia="en-AU"/>
            </w:rPr>
          </w:pPr>
          <w:hyperlink w:anchor="_Toc74108848" w:history="1">
            <w:r w:rsidR="00E02518" w:rsidRPr="000E2037">
              <w:rPr>
                <w:rStyle w:val="Hyperlink"/>
              </w:rPr>
              <w:t>ES.4</w:t>
            </w:r>
            <w:r w:rsidR="00E02518">
              <w:rPr>
                <w:rFonts w:eastAsiaTheme="minorEastAsia"/>
                <w:color w:val="auto"/>
                <w:sz w:val="22"/>
                <w:lang w:eastAsia="en-AU"/>
              </w:rPr>
              <w:tab/>
            </w:r>
            <w:r w:rsidR="00E02518" w:rsidRPr="000E2037">
              <w:rPr>
                <w:rStyle w:val="Hyperlink"/>
              </w:rPr>
              <w:t>Assessing the Project's impacts</w:t>
            </w:r>
            <w:r w:rsidR="00E02518">
              <w:rPr>
                <w:webHidden/>
              </w:rPr>
              <w:tab/>
            </w:r>
            <w:r w:rsidR="00E02518">
              <w:rPr>
                <w:webHidden/>
              </w:rPr>
              <w:fldChar w:fldCharType="begin"/>
            </w:r>
            <w:r w:rsidR="00E02518">
              <w:rPr>
                <w:webHidden/>
              </w:rPr>
              <w:instrText xml:space="preserve"> PAGEREF _Toc74108848 \h </w:instrText>
            </w:r>
            <w:r w:rsidR="00E02518">
              <w:rPr>
                <w:webHidden/>
              </w:rPr>
            </w:r>
            <w:r w:rsidR="00E02518">
              <w:rPr>
                <w:webHidden/>
              </w:rPr>
              <w:fldChar w:fldCharType="separate"/>
            </w:r>
            <w:r w:rsidR="00BD3E56">
              <w:rPr>
                <w:webHidden/>
              </w:rPr>
              <w:t>ES-10</w:t>
            </w:r>
            <w:r w:rsidR="00E02518">
              <w:rPr>
                <w:webHidden/>
              </w:rPr>
              <w:fldChar w:fldCharType="end"/>
            </w:r>
          </w:hyperlink>
        </w:p>
        <w:p w14:paraId="1CE88875" w14:textId="2EAF0BF8" w:rsidR="00E02518" w:rsidRPr="00307271" w:rsidRDefault="00113B39">
          <w:pPr>
            <w:pStyle w:val="TOC4"/>
            <w:rPr>
              <w:rFonts w:eastAsiaTheme="minorEastAsia"/>
              <w:color w:val="7F7F7F" w:themeColor="text1" w:themeTint="80"/>
              <w:sz w:val="22"/>
              <w:lang w:eastAsia="en-AU"/>
            </w:rPr>
          </w:pPr>
          <w:hyperlink w:anchor="_Toc74108849" w:history="1">
            <w:r w:rsidR="00E02518" w:rsidRPr="00307271">
              <w:rPr>
                <w:rStyle w:val="Hyperlink"/>
              </w:rPr>
              <w:t>ES.4.1</w:t>
            </w:r>
            <w:r w:rsidR="00E02518" w:rsidRPr="00307271">
              <w:rPr>
                <w:rFonts w:eastAsiaTheme="minorEastAsia"/>
                <w:color w:val="7F7F7F" w:themeColor="text1" w:themeTint="80"/>
                <w:sz w:val="22"/>
                <w:lang w:eastAsia="en-AU"/>
              </w:rPr>
              <w:tab/>
            </w:r>
            <w:r w:rsidR="00E02518" w:rsidRPr="00307271">
              <w:rPr>
                <w:rStyle w:val="Hyperlink"/>
              </w:rPr>
              <w:t>Assessment approach</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_Toc74108849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ES-10</w:t>
            </w:r>
            <w:r w:rsidR="00E02518" w:rsidRPr="00307271">
              <w:rPr>
                <w:webHidden/>
                <w:color w:val="7F7F7F" w:themeColor="text1" w:themeTint="80"/>
              </w:rPr>
              <w:fldChar w:fldCharType="end"/>
            </w:r>
          </w:hyperlink>
        </w:p>
        <w:p w14:paraId="1FC7B7D7" w14:textId="7C546AEC" w:rsidR="00E02518" w:rsidRPr="00307271" w:rsidRDefault="00113B39">
          <w:pPr>
            <w:pStyle w:val="TOC4"/>
            <w:rPr>
              <w:rFonts w:eastAsiaTheme="minorEastAsia"/>
              <w:color w:val="7F7F7F" w:themeColor="text1" w:themeTint="80"/>
              <w:sz w:val="22"/>
              <w:lang w:eastAsia="en-AU"/>
            </w:rPr>
          </w:pPr>
          <w:hyperlink w:anchor="_Toc74108850" w:history="1">
            <w:r w:rsidR="00E02518" w:rsidRPr="00307271">
              <w:rPr>
                <w:rStyle w:val="Hyperlink"/>
              </w:rPr>
              <w:t>ES.4.2</w:t>
            </w:r>
            <w:r w:rsidR="00E02518" w:rsidRPr="00307271">
              <w:rPr>
                <w:rFonts w:eastAsiaTheme="minorEastAsia"/>
                <w:color w:val="7F7F7F" w:themeColor="text1" w:themeTint="80"/>
                <w:sz w:val="22"/>
                <w:lang w:eastAsia="en-AU"/>
              </w:rPr>
              <w:tab/>
            </w:r>
            <w:r w:rsidR="00E02518" w:rsidRPr="00307271">
              <w:rPr>
                <w:rStyle w:val="Hyperlink"/>
              </w:rPr>
              <w:t>Cumulative impacts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_Toc74108850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ES-10</w:t>
            </w:r>
            <w:r w:rsidR="00E02518" w:rsidRPr="00307271">
              <w:rPr>
                <w:webHidden/>
                <w:color w:val="7F7F7F" w:themeColor="text1" w:themeTint="80"/>
              </w:rPr>
              <w:fldChar w:fldCharType="end"/>
            </w:r>
          </w:hyperlink>
        </w:p>
        <w:p w14:paraId="4BE46395" w14:textId="2D8789A0" w:rsidR="00E02518" w:rsidRPr="00307271" w:rsidRDefault="00113B39">
          <w:pPr>
            <w:pStyle w:val="TOC4"/>
            <w:rPr>
              <w:rFonts w:eastAsiaTheme="minorEastAsia"/>
              <w:color w:val="7F7F7F" w:themeColor="text1" w:themeTint="80"/>
              <w:sz w:val="22"/>
              <w:lang w:eastAsia="en-AU"/>
            </w:rPr>
          </w:pPr>
          <w:hyperlink w:anchor="_Toc74108851" w:history="1">
            <w:r w:rsidR="00E02518" w:rsidRPr="00307271">
              <w:rPr>
                <w:rStyle w:val="Hyperlink"/>
              </w:rPr>
              <w:t>ES.4.3</w:t>
            </w:r>
            <w:r w:rsidR="00E02518" w:rsidRPr="00307271">
              <w:rPr>
                <w:rFonts w:eastAsiaTheme="minorEastAsia"/>
                <w:color w:val="7F7F7F" w:themeColor="text1" w:themeTint="80"/>
                <w:sz w:val="22"/>
                <w:lang w:eastAsia="en-AU"/>
              </w:rPr>
              <w:tab/>
            </w:r>
            <w:r w:rsidR="00E02518" w:rsidRPr="00307271">
              <w:rPr>
                <w:rStyle w:val="Hyperlink"/>
              </w:rPr>
              <w:t>Technical studies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_Toc74108851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ES-10</w:t>
            </w:r>
            <w:r w:rsidR="00E02518" w:rsidRPr="00307271">
              <w:rPr>
                <w:webHidden/>
                <w:color w:val="7F7F7F" w:themeColor="text1" w:themeTint="80"/>
              </w:rPr>
              <w:fldChar w:fldCharType="end"/>
            </w:r>
          </w:hyperlink>
        </w:p>
        <w:p w14:paraId="13CD38FA" w14:textId="752C30A2" w:rsidR="00E02518" w:rsidRDefault="00113B39">
          <w:pPr>
            <w:pStyle w:val="TOC3"/>
            <w:rPr>
              <w:rFonts w:eastAsiaTheme="minorEastAsia"/>
              <w:color w:val="auto"/>
              <w:sz w:val="22"/>
              <w:lang w:eastAsia="en-AU"/>
            </w:rPr>
          </w:pPr>
          <w:hyperlink w:anchor="_Toc74108852" w:history="1">
            <w:r w:rsidR="00E02518" w:rsidRPr="000E2037">
              <w:rPr>
                <w:rStyle w:val="Hyperlink"/>
              </w:rPr>
              <w:t>ES.5</w:t>
            </w:r>
            <w:r w:rsidR="00E02518">
              <w:rPr>
                <w:rFonts w:eastAsiaTheme="minorEastAsia"/>
                <w:color w:val="auto"/>
                <w:sz w:val="22"/>
                <w:lang w:eastAsia="en-AU"/>
              </w:rPr>
              <w:tab/>
            </w:r>
            <w:r w:rsidR="00E02518" w:rsidRPr="000E2037">
              <w:rPr>
                <w:rStyle w:val="Hyperlink"/>
              </w:rPr>
              <w:t>Assessment of potential impacts</w:t>
            </w:r>
            <w:r w:rsidR="00E02518">
              <w:rPr>
                <w:webHidden/>
              </w:rPr>
              <w:tab/>
            </w:r>
            <w:r w:rsidR="00E02518">
              <w:rPr>
                <w:webHidden/>
              </w:rPr>
              <w:fldChar w:fldCharType="begin"/>
            </w:r>
            <w:r w:rsidR="00E02518">
              <w:rPr>
                <w:webHidden/>
              </w:rPr>
              <w:instrText xml:space="preserve"> PAGEREF _Toc74108852 \h </w:instrText>
            </w:r>
            <w:r w:rsidR="00E02518">
              <w:rPr>
                <w:webHidden/>
              </w:rPr>
            </w:r>
            <w:r w:rsidR="00E02518">
              <w:rPr>
                <w:webHidden/>
              </w:rPr>
              <w:fldChar w:fldCharType="separate"/>
            </w:r>
            <w:r w:rsidR="00BD3E56">
              <w:rPr>
                <w:webHidden/>
              </w:rPr>
              <w:t>ES-11</w:t>
            </w:r>
            <w:r w:rsidR="00E02518">
              <w:rPr>
                <w:webHidden/>
              </w:rPr>
              <w:fldChar w:fldCharType="end"/>
            </w:r>
          </w:hyperlink>
        </w:p>
        <w:p w14:paraId="430F8D3C" w14:textId="6D655B5A" w:rsidR="00E02518" w:rsidRPr="00307271" w:rsidRDefault="00113B39">
          <w:pPr>
            <w:pStyle w:val="TOC4"/>
            <w:rPr>
              <w:rFonts w:eastAsiaTheme="minorEastAsia"/>
              <w:color w:val="7F7F7F" w:themeColor="text1" w:themeTint="80"/>
              <w:sz w:val="22"/>
              <w:lang w:eastAsia="en-AU"/>
            </w:rPr>
          </w:pPr>
          <w:hyperlink w:anchor="_Toc74108853" w:history="1">
            <w:r w:rsidR="00E02518" w:rsidRPr="00307271">
              <w:rPr>
                <w:rStyle w:val="Hyperlink"/>
              </w:rPr>
              <w:t>ES.5.1</w:t>
            </w:r>
            <w:r w:rsidR="00E02518" w:rsidRPr="00307271">
              <w:rPr>
                <w:rFonts w:eastAsiaTheme="minorEastAsia"/>
                <w:color w:val="7F7F7F" w:themeColor="text1" w:themeTint="80"/>
                <w:sz w:val="22"/>
                <w:lang w:eastAsia="en-AU"/>
              </w:rPr>
              <w:tab/>
            </w:r>
            <w:r w:rsidR="00E02518" w:rsidRPr="00307271">
              <w:rPr>
                <w:rStyle w:val="Hyperlink"/>
              </w:rPr>
              <w:t>Energy efficiency, security, affordability and safety</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_Toc74108853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ES-11</w:t>
            </w:r>
            <w:r w:rsidR="00E02518" w:rsidRPr="00307271">
              <w:rPr>
                <w:webHidden/>
                <w:color w:val="7F7F7F" w:themeColor="text1" w:themeTint="80"/>
              </w:rPr>
              <w:fldChar w:fldCharType="end"/>
            </w:r>
          </w:hyperlink>
        </w:p>
        <w:p w14:paraId="46AA1C66" w14:textId="7F8F6D28" w:rsidR="00E02518" w:rsidRPr="00307271" w:rsidRDefault="00113B39">
          <w:pPr>
            <w:pStyle w:val="TOC4"/>
            <w:rPr>
              <w:rFonts w:eastAsiaTheme="minorEastAsia"/>
              <w:color w:val="7F7F7F" w:themeColor="text1" w:themeTint="80"/>
              <w:sz w:val="22"/>
              <w:lang w:eastAsia="en-AU"/>
            </w:rPr>
          </w:pPr>
          <w:hyperlink w:anchor="_Toc74108854" w:history="1">
            <w:r w:rsidR="00E02518" w:rsidRPr="00307271">
              <w:rPr>
                <w:rStyle w:val="Hyperlink"/>
              </w:rPr>
              <w:t>ES.5.2</w:t>
            </w:r>
            <w:r w:rsidR="00E02518" w:rsidRPr="00307271">
              <w:rPr>
                <w:rFonts w:eastAsiaTheme="minorEastAsia"/>
                <w:color w:val="7F7F7F" w:themeColor="text1" w:themeTint="80"/>
                <w:sz w:val="22"/>
                <w:lang w:eastAsia="en-AU"/>
              </w:rPr>
              <w:tab/>
            </w:r>
            <w:r w:rsidR="00E02518" w:rsidRPr="00307271">
              <w:rPr>
                <w:rStyle w:val="Hyperlink"/>
              </w:rPr>
              <w:t>Biodiversity and habitats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_Toc74108854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ES-13</w:t>
            </w:r>
            <w:r w:rsidR="00E02518" w:rsidRPr="00307271">
              <w:rPr>
                <w:webHidden/>
                <w:color w:val="7F7F7F" w:themeColor="text1" w:themeTint="80"/>
              </w:rPr>
              <w:fldChar w:fldCharType="end"/>
            </w:r>
          </w:hyperlink>
        </w:p>
        <w:p w14:paraId="07105A96" w14:textId="22B8E386" w:rsidR="00E02518" w:rsidRPr="00307271" w:rsidRDefault="00113B39">
          <w:pPr>
            <w:pStyle w:val="TOC4"/>
            <w:rPr>
              <w:rFonts w:eastAsiaTheme="minorEastAsia"/>
              <w:color w:val="7F7F7F" w:themeColor="text1" w:themeTint="80"/>
              <w:sz w:val="22"/>
              <w:lang w:eastAsia="en-AU"/>
            </w:rPr>
          </w:pPr>
          <w:hyperlink w:anchor="_Toc74108855" w:history="1">
            <w:r w:rsidR="00E02518" w:rsidRPr="00307271">
              <w:rPr>
                <w:rStyle w:val="Hyperlink"/>
              </w:rPr>
              <w:t>ES.5.3</w:t>
            </w:r>
            <w:r w:rsidR="00E02518" w:rsidRPr="00307271">
              <w:rPr>
                <w:rFonts w:eastAsiaTheme="minorEastAsia"/>
                <w:color w:val="7F7F7F" w:themeColor="text1" w:themeTint="80"/>
                <w:sz w:val="22"/>
                <w:lang w:eastAsia="en-AU"/>
              </w:rPr>
              <w:tab/>
            </w:r>
            <w:r w:rsidR="00E02518" w:rsidRPr="00307271">
              <w:rPr>
                <w:rStyle w:val="Hyperlink"/>
              </w:rPr>
              <w:t>Water and catchment values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_Toc74108855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ES-17</w:t>
            </w:r>
            <w:r w:rsidR="00E02518" w:rsidRPr="00307271">
              <w:rPr>
                <w:webHidden/>
                <w:color w:val="7F7F7F" w:themeColor="text1" w:themeTint="80"/>
              </w:rPr>
              <w:fldChar w:fldCharType="end"/>
            </w:r>
          </w:hyperlink>
        </w:p>
        <w:p w14:paraId="196FE4B1" w14:textId="75CB37EA" w:rsidR="00E02518" w:rsidRPr="00307271" w:rsidRDefault="00113B39">
          <w:pPr>
            <w:pStyle w:val="TOC4"/>
            <w:rPr>
              <w:rFonts w:eastAsiaTheme="minorEastAsia"/>
              <w:color w:val="7F7F7F" w:themeColor="text1" w:themeTint="80"/>
              <w:sz w:val="22"/>
              <w:lang w:eastAsia="en-AU"/>
            </w:rPr>
          </w:pPr>
          <w:hyperlink w:anchor="_Toc74108856" w:history="1">
            <w:r w:rsidR="00E02518" w:rsidRPr="00307271">
              <w:rPr>
                <w:rStyle w:val="Hyperlink"/>
              </w:rPr>
              <w:t>ES.5.4</w:t>
            </w:r>
            <w:r w:rsidR="00E02518" w:rsidRPr="00307271">
              <w:rPr>
                <w:rFonts w:eastAsiaTheme="minorEastAsia"/>
                <w:color w:val="7F7F7F" w:themeColor="text1" w:themeTint="80"/>
                <w:sz w:val="22"/>
                <w:lang w:eastAsia="en-AU"/>
              </w:rPr>
              <w:tab/>
            </w:r>
            <w:r w:rsidR="00E02518" w:rsidRPr="00307271">
              <w:rPr>
                <w:rStyle w:val="Hyperlink"/>
              </w:rPr>
              <w:t>Cultural heritage</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_Toc74108856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ES-20</w:t>
            </w:r>
            <w:r w:rsidR="00E02518" w:rsidRPr="00307271">
              <w:rPr>
                <w:webHidden/>
                <w:color w:val="7F7F7F" w:themeColor="text1" w:themeTint="80"/>
              </w:rPr>
              <w:fldChar w:fldCharType="end"/>
            </w:r>
          </w:hyperlink>
        </w:p>
        <w:p w14:paraId="74A5169D" w14:textId="2754D22B" w:rsidR="00E02518" w:rsidRPr="00307271" w:rsidRDefault="00113B39">
          <w:pPr>
            <w:pStyle w:val="TOC4"/>
            <w:rPr>
              <w:rFonts w:eastAsiaTheme="minorEastAsia"/>
              <w:color w:val="7F7F7F" w:themeColor="text1" w:themeTint="80"/>
              <w:sz w:val="22"/>
              <w:lang w:eastAsia="en-AU"/>
            </w:rPr>
          </w:pPr>
          <w:hyperlink w:anchor="_Toc74108857" w:history="1">
            <w:r w:rsidR="00E02518" w:rsidRPr="00307271">
              <w:rPr>
                <w:rStyle w:val="Hyperlink"/>
              </w:rPr>
              <w:t>ES.5.5</w:t>
            </w:r>
            <w:r w:rsidR="00E02518" w:rsidRPr="00307271">
              <w:rPr>
                <w:rFonts w:eastAsiaTheme="minorEastAsia"/>
                <w:color w:val="7F7F7F" w:themeColor="text1" w:themeTint="80"/>
                <w:sz w:val="22"/>
                <w:lang w:eastAsia="en-AU"/>
              </w:rPr>
              <w:tab/>
            </w:r>
            <w:r w:rsidR="00E02518" w:rsidRPr="00307271">
              <w:rPr>
                <w:rStyle w:val="Hyperlink"/>
              </w:rPr>
              <w:t>Social, economic, amenity and land use</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_Toc74108857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ES-22</w:t>
            </w:r>
            <w:r w:rsidR="00E02518" w:rsidRPr="00307271">
              <w:rPr>
                <w:webHidden/>
                <w:color w:val="7F7F7F" w:themeColor="text1" w:themeTint="80"/>
              </w:rPr>
              <w:fldChar w:fldCharType="end"/>
            </w:r>
          </w:hyperlink>
        </w:p>
        <w:p w14:paraId="7C618DB3" w14:textId="78A9F24B" w:rsidR="00E02518" w:rsidRPr="00307271" w:rsidRDefault="00113B39">
          <w:pPr>
            <w:pStyle w:val="TOC4"/>
            <w:rPr>
              <w:rFonts w:eastAsiaTheme="minorEastAsia"/>
              <w:color w:val="7F7F7F" w:themeColor="text1" w:themeTint="80"/>
              <w:sz w:val="22"/>
              <w:lang w:eastAsia="en-AU"/>
            </w:rPr>
          </w:pPr>
          <w:hyperlink w:anchor="_Toc74108858" w:history="1">
            <w:r w:rsidR="00E02518" w:rsidRPr="00307271">
              <w:rPr>
                <w:rStyle w:val="Hyperlink"/>
              </w:rPr>
              <w:t>ES.5.6</w:t>
            </w:r>
            <w:r w:rsidR="00E02518" w:rsidRPr="00307271">
              <w:rPr>
                <w:rFonts w:eastAsiaTheme="minorEastAsia"/>
                <w:color w:val="7F7F7F" w:themeColor="text1" w:themeTint="80"/>
                <w:sz w:val="22"/>
                <w:lang w:eastAsia="en-AU"/>
              </w:rPr>
              <w:tab/>
            </w:r>
            <w:r w:rsidR="00E02518" w:rsidRPr="00307271">
              <w:rPr>
                <w:rStyle w:val="Hyperlink"/>
              </w:rPr>
              <w:t>Waste management</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_Toc74108858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ES-37</w:t>
            </w:r>
            <w:r w:rsidR="00E02518" w:rsidRPr="00307271">
              <w:rPr>
                <w:webHidden/>
                <w:color w:val="7F7F7F" w:themeColor="text1" w:themeTint="80"/>
              </w:rPr>
              <w:fldChar w:fldCharType="end"/>
            </w:r>
          </w:hyperlink>
        </w:p>
        <w:p w14:paraId="45861838" w14:textId="4C221A68" w:rsidR="00E02518" w:rsidRDefault="00113B39">
          <w:pPr>
            <w:pStyle w:val="TOC3"/>
            <w:rPr>
              <w:rFonts w:eastAsiaTheme="minorEastAsia"/>
              <w:color w:val="auto"/>
              <w:sz w:val="22"/>
              <w:lang w:eastAsia="en-AU"/>
            </w:rPr>
          </w:pPr>
          <w:hyperlink w:anchor="_Toc74108859" w:history="1">
            <w:r w:rsidR="00E02518" w:rsidRPr="000E2037">
              <w:rPr>
                <w:rStyle w:val="Hyperlink"/>
              </w:rPr>
              <w:t>ES.6</w:t>
            </w:r>
            <w:r w:rsidR="00E02518">
              <w:rPr>
                <w:rFonts w:eastAsiaTheme="minorEastAsia"/>
                <w:color w:val="auto"/>
                <w:sz w:val="22"/>
                <w:lang w:eastAsia="en-AU"/>
              </w:rPr>
              <w:tab/>
            </w:r>
            <w:r w:rsidR="00E02518" w:rsidRPr="000E2037">
              <w:rPr>
                <w:rStyle w:val="Hyperlink"/>
              </w:rPr>
              <w:t>Managing the Project's impacts</w:t>
            </w:r>
            <w:r w:rsidR="00E02518">
              <w:rPr>
                <w:webHidden/>
              </w:rPr>
              <w:tab/>
            </w:r>
            <w:r w:rsidR="00E02518">
              <w:rPr>
                <w:webHidden/>
              </w:rPr>
              <w:fldChar w:fldCharType="begin"/>
            </w:r>
            <w:r w:rsidR="00E02518">
              <w:rPr>
                <w:webHidden/>
              </w:rPr>
              <w:instrText xml:space="preserve"> PAGEREF _Toc74108859 \h </w:instrText>
            </w:r>
            <w:r w:rsidR="00E02518">
              <w:rPr>
                <w:webHidden/>
              </w:rPr>
            </w:r>
            <w:r w:rsidR="00E02518">
              <w:rPr>
                <w:webHidden/>
              </w:rPr>
              <w:fldChar w:fldCharType="separate"/>
            </w:r>
            <w:r w:rsidR="00BD3E56">
              <w:rPr>
                <w:webHidden/>
              </w:rPr>
              <w:t>ES-40</w:t>
            </w:r>
            <w:r w:rsidR="00E02518">
              <w:rPr>
                <w:webHidden/>
              </w:rPr>
              <w:fldChar w:fldCharType="end"/>
            </w:r>
          </w:hyperlink>
        </w:p>
        <w:p w14:paraId="445BF07D" w14:textId="08BA2D9E" w:rsidR="00E02518" w:rsidRDefault="00113B39">
          <w:pPr>
            <w:pStyle w:val="TOC3"/>
            <w:rPr>
              <w:rFonts w:eastAsiaTheme="minorEastAsia"/>
              <w:color w:val="auto"/>
              <w:sz w:val="22"/>
              <w:lang w:eastAsia="en-AU"/>
            </w:rPr>
          </w:pPr>
          <w:hyperlink w:anchor="_Toc74108860" w:history="1">
            <w:r w:rsidR="00E02518" w:rsidRPr="000E2037">
              <w:rPr>
                <w:rStyle w:val="Hyperlink"/>
              </w:rPr>
              <w:t>ES.7</w:t>
            </w:r>
            <w:r w:rsidR="00E02518">
              <w:rPr>
                <w:rFonts w:eastAsiaTheme="minorEastAsia"/>
                <w:color w:val="auto"/>
                <w:sz w:val="22"/>
                <w:lang w:eastAsia="en-AU"/>
              </w:rPr>
              <w:tab/>
            </w:r>
            <w:r w:rsidR="00E02518" w:rsidRPr="000E2037">
              <w:rPr>
                <w:rStyle w:val="Hyperlink"/>
              </w:rPr>
              <w:t>Consulting with the community</w:t>
            </w:r>
            <w:r w:rsidR="00E02518">
              <w:rPr>
                <w:webHidden/>
              </w:rPr>
              <w:tab/>
            </w:r>
            <w:r w:rsidR="00E02518">
              <w:rPr>
                <w:webHidden/>
              </w:rPr>
              <w:fldChar w:fldCharType="begin"/>
            </w:r>
            <w:r w:rsidR="00E02518">
              <w:rPr>
                <w:webHidden/>
              </w:rPr>
              <w:instrText xml:space="preserve"> PAGEREF _Toc74108860 \h </w:instrText>
            </w:r>
            <w:r w:rsidR="00E02518">
              <w:rPr>
                <w:webHidden/>
              </w:rPr>
            </w:r>
            <w:r w:rsidR="00E02518">
              <w:rPr>
                <w:webHidden/>
              </w:rPr>
              <w:fldChar w:fldCharType="separate"/>
            </w:r>
            <w:r w:rsidR="00BD3E56">
              <w:rPr>
                <w:webHidden/>
              </w:rPr>
              <w:t>ES-40</w:t>
            </w:r>
            <w:r w:rsidR="00E02518">
              <w:rPr>
                <w:webHidden/>
              </w:rPr>
              <w:fldChar w:fldCharType="end"/>
            </w:r>
          </w:hyperlink>
        </w:p>
        <w:p w14:paraId="1625C494" w14:textId="3C484C5A" w:rsidR="00E02518" w:rsidRDefault="00113B39">
          <w:pPr>
            <w:pStyle w:val="TOC3"/>
            <w:rPr>
              <w:rFonts w:eastAsiaTheme="minorEastAsia"/>
              <w:color w:val="auto"/>
              <w:sz w:val="22"/>
              <w:lang w:eastAsia="en-AU"/>
            </w:rPr>
          </w:pPr>
          <w:hyperlink w:anchor="_Toc74108861" w:history="1">
            <w:r w:rsidR="00E02518" w:rsidRPr="000E2037">
              <w:rPr>
                <w:rStyle w:val="Hyperlink"/>
              </w:rPr>
              <w:t>ES.8</w:t>
            </w:r>
            <w:r w:rsidR="00E02518">
              <w:rPr>
                <w:rFonts w:eastAsiaTheme="minorEastAsia"/>
                <w:color w:val="auto"/>
                <w:sz w:val="22"/>
                <w:lang w:eastAsia="en-AU"/>
              </w:rPr>
              <w:tab/>
            </w:r>
            <w:r w:rsidR="00E02518" w:rsidRPr="000E2037">
              <w:rPr>
                <w:rStyle w:val="Hyperlink"/>
              </w:rPr>
              <w:t>Concluding the EES process</w:t>
            </w:r>
            <w:r w:rsidR="00E02518">
              <w:rPr>
                <w:webHidden/>
              </w:rPr>
              <w:tab/>
            </w:r>
            <w:r w:rsidR="00E02518">
              <w:rPr>
                <w:webHidden/>
              </w:rPr>
              <w:fldChar w:fldCharType="begin"/>
            </w:r>
            <w:r w:rsidR="00E02518">
              <w:rPr>
                <w:webHidden/>
              </w:rPr>
              <w:instrText xml:space="preserve"> PAGEREF _Toc74108861 \h </w:instrText>
            </w:r>
            <w:r w:rsidR="00E02518">
              <w:rPr>
                <w:webHidden/>
              </w:rPr>
            </w:r>
            <w:r w:rsidR="00E02518">
              <w:rPr>
                <w:webHidden/>
              </w:rPr>
              <w:fldChar w:fldCharType="separate"/>
            </w:r>
            <w:r w:rsidR="00BD3E56">
              <w:rPr>
                <w:webHidden/>
              </w:rPr>
              <w:t>ES-43</w:t>
            </w:r>
            <w:r w:rsidR="00E02518">
              <w:rPr>
                <w:webHidden/>
              </w:rPr>
              <w:fldChar w:fldCharType="end"/>
            </w:r>
          </w:hyperlink>
        </w:p>
        <w:p w14:paraId="41F31B16" w14:textId="447EAD24" w:rsidR="00E02518" w:rsidRPr="00307271" w:rsidRDefault="00113B39">
          <w:pPr>
            <w:pStyle w:val="TOC4"/>
            <w:rPr>
              <w:rFonts w:eastAsiaTheme="minorEastAsia"/>
              <w:color w:val="7F7F7F" w:themeColor="text1" w:themeTint="80"/>
              <w:sz w:val="22"/>
              <w:lang w:eastAsia="en-AU"/>
            </w:rPr>
          </w:pPr>
          <w:hyperlink w:anchor="_Toc74108862" w:history="1">
            <w:r w:rsidR="00E02518" w:rsidRPr="00307271">
              <w:rPr>
                <w:rStyle w:val="Hyperlink"/>
              </w:rPr>
              <w:t>ES.8.1</w:t>
            </w:r>
            <w:r w:rsidR="00E02518" w:rsidRPr="00307271">
              <w:rPr>
                <w:rFonts w:eastAsiaTheme="minorEastAsia"/>
                <w:color w:val="7F7F7F" w:themeColor="text1" w:themeTint="80"/>
                <w:sz w:val="22"/>
                <w:lang w:eastAsia="en-AU"/>
              </w:rPr>
              <w:tab/>
            </w:r>
            <w:r w:rsidR="00E02518" w:rsidRPr="00307271">
              <w:rPr>
                <w:rStyle w:val="Hyperlink"/>
              </w:rPr>
              <w:t>Exhibition and submissions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_Toc74108862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ES-43</w:t>
            </w:r>
            <w:r w:rsidR="00E02518" w:rsidRPr="00307271">
              <w:rPr>
                <w:webHidden/>
                <w:color w:val="7F7F7F" w:themeColor="text1" w:themeTint="80"/>
              </w:rPr>
              <w:fldChar w:fldCharType="end"/>
            </w:r>
          </w:hyperlink>
        </w:p>
        <w:p w14:paraId="2662F31C" w14:textId="06758113" w:rsidR="00E02518" w:rsidRPr="00307271" w:rsidRDefault="00113B39">
          <w:pPr>
            <w:pStyle w:val="TOC4"/>
            <w:rPr>
              <w:rFonts w:eastAsiaTheme="minorEastAsia"/>
              <w:color w:val="7F7F7F" w:themeColor="text1" w:themeTint="80"/>
              <w:sz w:val="22"/>
              <w:lang w:eastAsia="en-AU"/>
            </w:rPr>
          </w:pPr>
          <w:hyperlink w:anchor="_Toc74108863" w:history="1">
            <w:r w:rsidR="00E02518" w:rsidRPr="00307271">
              <w:rPr>
                <w:rStyle w:val="Hyperlink"/>
              </w:rPr>
              <w:t>ES.8.2</w:t>
            </w:r>
            <w:r w:rsidR="00E02518" w:rsidRPr="00307271">
              <w:rPr>
                <w:rFonts w:eastAsiaTheme="minorEastAsia"/>
                <w:color w:val="7F7F7F" w:themeColor="text1" w:themeTint="80"/>
                <w:sz w:val="22"/>
                <w:lang w:eastAsia="en-AU"/>
              </w:rPr>
              <w:tab/>
            </w:r>
            <w:r w:rsidR="00E02518" w:rsidRPr="00307271">
              <w:rPr>
                <w:rStyle w:val="Hyperlink"/>
              </w:rPr>
              <w:t>Next steps</w:t>
            </w:r>
            <w:r w:rsidR="00E02518" w:rsidRPr="00307271">
              <w:rPr>
                <w:webHidden/>
                <w:color w:val="7F7F7F" w:themeColor="text1" w:themeTint="80"/>
              </w:rPr>
              <w:tab/>
            </w:r>
            <w:r w:rsidR="00E02518" w:rsidRPr="00307271">
              <w:rPr>
                <w:webHidden/>
                <w:color w:val="7F7F7F" w:themeColor="text1" w:themeTint="80"/>
              </w:rPr>
              <w:fldChar w:fldCharType="begin"/>
            </w:r>
            <w:r w:rsidR="00E02518" w:rsidRPr="00307271">
              <w:rPr>
                <w:webHidden/>
                <w:color w:val="7F7F7F" w:themeColor="text1" w:themeTint="80"/>
              </w:rPr>
              <w:instrText xml:space="preserve"> PAGEREF _Toc74108863 \h </w:instrText>
            </w:r>
            <w:r w:rsidR="00E02518" w:rsidRPr="00307271">
              <w:rPr>
                <w:webHidden/>
                <w:color w:val="7F7F7F" w:themeColor="text1" w:themeTint="80"/>
              </w:rPr>
            </w:r>
            <w:r w:rsidR="00E02518" w:rsidRPr="00307271">
              <w:rPr>
                <w:webHidden/>
                <w:color w:val="7F7F7F" w:themeColor="text1" w:themeTint="80"/>
              </w:rPr>
              <w:fldChar w:fldCharType="separate"/>
            </w:r>
            <w:r w:rsidR="00BD3E56" w:rsidRPr="00307271">
              <w:rPr>
                <w:webHidden/>
                <w:color w:val="7F7F7F" w:themeColor="text1" w:themeTint="80"/>
              </w:rPr>
              <w:t>ES-44</w:t>
            </w:r>
            <w:r w:rsidR="00E02518" w:rsidRPr="00307271">
              <w:rPr>
                <w:webHidden/>
                <w:color w:val="7F7F7F" w:themeColor="text1" w:themeTint="80"/>
              </w:rPr>
              <w:fldChar w:fldCharType="end"/>
            </w:r>
          </w:hyperlink>
        </w:p>
        <w:p w14:paraId="55E45DD8" w14:textId="3D154407" w:rsidR="00C81E40" w:rsidRPr="00B61FF8" w:rsidRDefault="00C81E40" w:rsidP="00C81E40">
          <w:pPr>
            <w:pStyle w:val="TOC2"/>
          </w:pPr>
          <w:r w:rsidRPr="00B61FF8">
            <w:fldChar w:fldCharType="end"/>
          </w:r>
        </w:p>
      </w:sdtContent>
    </w:sdt>
    <w:p w14:paraId="34F1044E" w14:textId="77777777" w:rsidR="00CE5CD3" w:rsidRPr="00CE5CD3" w:rsidRDefault="00CE5CD3" w:rsidP="00CE5CD3">
      <w:pPr>
        <w:pStyle w:val="TableText"/>
      </w:pPr>
    </w:p>
    <w:p w14:paraId="1D3F0033" w14:textId="77777777" w:rsidR="00CE5CD3" w:rsidRDefault="00CE5CD3" w:rsidP="00CE5CD3">
      <w:pPr>
        <w:pStyle w:val="TableText"/>
        <w:sectPr w:rsidR="00CE5CD3" w:rsidSect="00B87D7D">
          <w:headerReference w:type="first" r:id="rId19"/>
          <w:type w:val="oddPage"/>
          <w:pgSz w:w="11906" w:h="16838" w:code="9"/>
          <w:pgMar w:top="1418" w:right="1418" w:bottom="1418" w:left="1418" w:header="567" w:footer="567" w:gutter="0"/>
          <w:pgNumType w:fmt="lowerRoman" w:start="1"/>
          <w:cols w:space="708"/>
          <w:docGrid w:linePitch="360"/>
        </w:sectPr>
      </w:pPr>
    </w:p>
    <w:p w14:paraId="14F77288" w14:textId="77777777" w:rsidR="00712AC5" w:rsidRDefault="009A4C12" w:rsidP="00E94BD2">
      <w:pPr>
        <w:pStyle w:val="Heading3"/>
        <w:spacing w:before="0" w:after="200"/>
        <w:rPr>
          <w:rStyle w:val="Removedirectformatting"/>
        </w:rPr>
      </w:pPr>
      <w:bookmarkStart w:id="1" w:name="_Toc71731116"/>
      <w:bookmarkStart w:id="2" w:name="_Toc72495993"/>
      <w:bookmarkStart w:id="3" w:name="_Toc72510137"/>
      <w:bookmarkStart w:id="4" w:name="_Toc74108837"/>
      <w:r>
        <w:rPr>
          <w:rStyle w:val="Removedirectformatting"/>
        </w:rPr>
        <w:lastRenderedPageBreak/>
        <w:t>Introduction</w:t>
      </w:r>
      <w:bookmarkEnd w:id="1"/>
      <w:bookmarkEnd w:id="2"/>
      <w:bookmarkEnd w:id="3"/>
      <w:bookmarkEnd w:id="4"/>
    </w:p>
    <w:p w14:paraId="73F18240" w14:textId="60629F10" w:rsidR="00731B65" w:rsidRDefault="00731B65" w:rsidP="00E94BD2">
      <w:pPr>
        <w:pStyle w:val="BodyText"/>
        <w:spacing w:before="200"/>
      </w:pPr>
      <w:r>
        <w:t xml:space="preserve">This executive summary </w:t>
      </w:r>
      <w:r w:rsidR="00B00036">
        <w:t>provides a summa</w:t>
      </w:r>
      <w:r w:rsidR="00AF6680">
        <w:t>r</w:t>
      </w:r>
      <w:r w:rsidR="00B00036">
        <w:t xml:space="preserve">y of the content and key findings of the Environment Effects Statement (EES) for the Western Outer Ring Main Project (the Project). The executive summary highlights the Project background, </w:t>
      </w:r>
      <w:proofErr w:type="gramStart"/>
      <w:r w:rsidR="00B00036">
        <w:t>description</w:t>
      </w:r>
      <w:proofErr w:type="gramEnd"/>
      <w:r w:rsidR="00B00036">
        <w:t xml:space="preserve"> and approach to the EES which is detailed in Volume 1 of the EES Main Report. It provides the key findings of the assessment of potential impacts which are detailed in Volume 2 and Volume 3 of the EES Main Report. It also explains the next steps in the EES process.</w:t>
      </w:r>
      <w:r w:rsidR="00CE5CD3">
        <w:t xml:space="preserve"> </w:t>
      </w:r>
    </w:p>
    <w:p w14:paraId="131ECFF5" w14:textId="422343BC" w:rsidR="00D37154" w:rsidRDefault="00D37154" w:rsidP="00E94BD2">
      <w:pPr>
        <w:pStyle w:val="BodyText"/>
        <w:spacing w:before="200"/>
      </w:pPr>
      <w:r w:rsidRPr="00D37154">
        <w:t xml:space="preserve">APA VTS (Operations) Pty Ltd (APA) is proposing to construct a </w:t>
      </w:r>
      <w:proofErr w:type="gramStart"/>
      <w:r w:rsidRPr="00D37154">
        <w:t>high pressure</w:t>
      </w:r>
      <w:proofErr w:type="gramEnd"/>
      <w:r w:rsidRPr="00D37154">
        <w:t xml:space="preserve"> gas transmission pipeline between Plumpton Regulating Station (approximately 38 kilometres north west of Melbourne’s CBD) and Wollert Compressor Station (approximately 26 kilometres north east of Melbourne’s CBD). This would provide an additional connection between the eastern and western pipeline networks of the Victorian Transmission System (VTS). </w:t>
      </w:r>
      <w:r w:rsidR="00C320AC">
        <w:fldChar w:fldCharType="begin"/>
      </w:r>
      <w:r w:rsidR="00C320AC">
        <w:instrText xml:space="preserve"> REF _Ref70331026 \h </w:instrText>
      </w:r>
      <w:r w:rsidR="00C320AC">
        <w:fldChar w:fldCharType="separate"/>
      </w:r>
      <w:r w:rsidR="007829FC">
        <w:t>Figure </w:t>
      </w:r>
      <w:r w:rsidR="007829FC">
        <w:rPr>
          <w:noProof/>
        </w:rPr>
        <w:t>1</w:t>
      </w:r>
      <w:r w:rsidR="00C320AC">
        <w:fldChar w:fldCharType="end"/>
      </w:r>
      <w:r w:rsidR="00C320AC">
        <w:t xml:space="preserve"> </w:t>
      </w:r>
      <w:r w:rsidRPr="00D37154">
        <w:t xml:space="preserve">represents the VTS and the current constraint to gas flow </w:t>
      </w:r>
      <w:r w:rsidR="00500229">
        <w:t>to the</w:t>
      </w:r>
      <w:r w:rsidRPr="00D37154">
        <w:t xml:space="preserve"> Iona </w:t>
      </w:r>
      <w:r w:rsidR="00CB167D">
        <w:t>underground storage (</w:t>
      </w:r>
      <w:proofErr w:type="spellStart"/>
      <w:r w:rsidR="00CB167D">
        <w:t>UGS</w:t>
      </w:r>
      <w:proofErr w:type="spellEnd"/>
      <w:r w:rsidR="00CB167D">
        <w:t>) facility</w:t>
      </w:r>
      <w:r w:rsidRPr="00D37154">
        <w:t>, with other components of the VTS.</w:t>
      </w:r>
    </w:p>
    <w:p w14:paraId="201CA37A" w14:textId="17CFB61C" w:rsidR="00D37154" w:rsidRDefault="00D37154" w:rsidP="00EA702E">
      <w:pPr>
        <w:pStyle w:val="Caption"/>
        <w:spacing w:after="120"/>
      </w:pPr>
      <w:bookmarkStart w:id="5" w:name="_Ref70331026"/>
      <w:r>
        <w:t>Figure</w:t>
      </w:r>
      <w:r w:rsidR="00CE5CD3">
        <w:t> </w:t>
      </w:r>
      <w:r w:rsidR="00113B39">
        <w:fldChar w:fldCharType="begin"/>
      </w:r>
      <w:r w:rsidR="00113B39">
        <w:instrText xml:space="preserve"> SEQ Figure \* ARABIC </w:instrText>
      </w:r>
      <w:r w:rsidR="00113B39">
        <w:fldChar w:fldCharType="separate"/>
      </w:r>
      <w:r w:rsidR="00C320AC">
        <w:rPr>
          <w:noProof/>
        </w:rPr>
        <w:t>1</w:t>
      </w:r>
      <w:r w:rsidR="00113B39">
        <w:rPr>
          <w:noProof/>
        </w:rPr>
        <w:fldChar w:fldCharType="end"/>
      </w:r>
      <w:bookmarkEnd w:id="5"/>
      <w:r>
        <w:tab/>
        <w:t>Victorian Transmission System Schematic including the WORM</w:t>
      </w:r>
    </w:p>
    <w:p w14:paraId="05B83F03" w14:textId="77777777" w:rsidR="00D37154" w:rsidRPr="00D37154" w:rsidRDefault="00C81E40" w:rsidP="00EA702E">
      <w:pPr>
        <w:pStyle w:val="BodyTextSingleSpacing"/>
      </w:pPr>
      <w:r w:rsidRPr="00D37154">
        <w:rPr>
          <w:noProof/>
        </w:rPr>
        <w:drawing>
          <wp:inline distT="0" distB="0" distL="0" distR="0" wp14:anchorId="02741E40" wp14:editId="3BB93E24">
            <wp:extent cx="5760000" cy="3739724"/>
            <wp:effectExtent l="0" t="0" r="0" b="0"/>
            <wp:docPr id="15" name="Picture 15" descr="This figure shows the context of the WORM project within the Victorian Transmission System (VTS)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is figure shows the context of the WORM project within the Victorian Transmission System (VTS) as described in the text above."/>
                    <pic:cNvPicPr/>
                  </pic:nvPicPr>
                  <pic:blipFill>
                    <a:blip r:embed="rId20">
                      <a:extLst>
                        <a:ext uri="{28A0092B-C50C-407E-A947-70E740481C1C}">
                          <a14:useLocalDpi xmlns:a14="http://schemas.microsoft.com/office/drawing/2010/main" val="0"/>
                        </a:ext>
                      </a:extLst>
                    </a:blip>
                    <a:stretch>
                      <a:fillRect/>
                    </a:stretch>
                  </pic:blipFill>
                  <pic:spPr>
                    <a:xfrm>
                      <a:off x="0" y="0"/>
                      <a:ext cx="5760000" cy="3739724"/>
                    </a:xfrm>
                    <a:prstGeom prst="rect">
                      <a:avLst/>
                    </a:prstGeom>
                  </pic:spPr>
                </pic:pic>
              </a:graphicData>
            </a:graphic>
          </wp:inline>
        </w:drawing>
      </w:r>
    </w:p>
    <w:p w14:paraId="085618B4" w14:textId="77777777" w:rsidR="001278E1" w:rsidRDefault="001278E1" w:rsidP="00C81E40">
      <w:pPr>
        <w:pStyle w:val="Heading4"/>
      </w:pPr>
      <w:bookmarkStart w:id="6" w:name="_Toc71731117"/>
      <w:bookmarkStart w:id="7" w:name="_Toc72510138"/>
      <w:bookmarkStart w:id="8" w:name="_Toc74108838"/>
      <w:r>
        <w:t>Project background and rationale</w:t>
      </w:r>
      <w:bookmarkEnd w:id="6"/>
      <w:bookmarkEnd w:id="7"/>
      <w:bookmarkEnd w:id="8"/>
    </w:p>
    <w:p w14:paraId="69FE7739" w14:textId="77777777" w:rsidR="001278E1" w:rsidRDefault="001278E1" w:rsidP="00C81E40">
      <w:pPr>
        <w:pStyle w:val="BodyText"/>
      </w:pPr>
      <w:r w:rsidRPr="007E143A">
        <w:t>The Victorian economy is highly dependent on gas, with</w:t>
      </w:r>
      <w:r>
        <w:t xml:space="preserve"> g</w:t>
      </w:r>
      <w:r w:rsidRPr="007E143A">
        <w:t>as demand in Victoria primarily driven by the residential and small commercial sectors. During winter, Victoria experiences a peak demand in gas as consumption of hot water and heating increases, and broader demand pressure is placed on energy generators. This seasonal change in consumption causes a tightening of the gas supply-demand balance for Victoria from June to September. To combat this, Victoria’s gas network allows for the transfer and storage of excess gas that is generated during summer months, whe</w:t>
      </w:r>
      <w:r>
        <w:t>n</w:t>
      </w:r>
      <w:r w:rsidRPr="007E143A">
        <w:t xml:space="preserve"> gas demand is lower, to support demand requirements for the coming winter.</w:t>
      </w:r>
    </w:p>
    <w:p w14:paraId="6230AAA2" w14:textId="77777777" w:rsidR="00592A88" w:rsidRDefault="00592A88" w:rsidP="00C81E40">
      <w:pPr>
        <w:pStyle w:val="BodyText"/>
      </w:pPr>
      <w:r w:rsidRPr="00B54D63">
        <w:lastRenderedPageBreak/>
        <w:t xml:space="preserve">The Iona </w:t>
      </w:r>
      <w:proofErr w:type="spellStart"/>
      <w:r w:rsidR="00CB167D">
        <w:t>UGS</w:t>
      </w:r>
      <w:proofErr w:type="spellEnd"/>
      <w:r w:rsidR="00CB167D">
        <w:t xml:space="preserve"> </w:t>
      </w:r>
      <w:r>
        <w:t>basin</w:t>
      </w:r>
      <w:r w:rsidRPr="00B54D63">
        <w:t xml:space="preserve"> is Victoria’s largest natural gas storage facility and </w:t>
      </w:r>
      <w:r>
        <w:t>stores</w:t>
      </w:r>
      <w:r w:rsidRPr="00B54D63">
        <w:t xml:space="preserve"> </w:t>
      </w:r>
      <w:proofErr w:type="gramStart"/>
      <w:r w:rsidRPr="00B54D63">
        <w:t>the majority of</w:t>
      </w:r>
      <w:proofErr w:type="gramEnd"/>
      <w:r w:rsidRPr="00B54D63">
        <w:t xml:space="preserve"> Victoria’s gas supplies.</w:t>
      </w:r>
      <w:r>
        <w:t xml:space="preserve"> </w:t>
      </w:r>
      <w:r w:rsidRPr="00B54D63">
        <w:t xml:space="preserve">Gas stored at the Iona </w:t>
      </w:r>
      <w:proofErr w:type="spellStart"/>
      <w:r w:rsidRPr="00B54D63">
        <w:t>UGS</w:t>
      </w:r>
      <w:proofErr w:type="spellEnd"/>
      <w:r w:rsidRPr="00B54D63">
        <w:t xml:space="preserve"> is crucia</w:t>
      </w:r>
      <w:r>
        <w:t>l for meeting peak gas demand</w:t>
      </w:r>
      <w:r w:rsidRPr="00B54D63">
        <w:t>, ensuring access to natural gas throughout the year. However, sufficient storage volumes must be achieved at the fa</w:t>
      </w:r>
      <w:r>
        <w:t>cility over summer</w:t>
      </w:r>
      <w:r w:rsidRPr="00B54D63">
        <w:t xml:space="preserve"> </w:t>
      </w:r>
      <w:proofErr w:type="gramStart"/>
      <w:r w:rsidRPr="00B54D63">
        <w:t>in order to</w:t>
      </w:r>
      <w:proofErr w:type="gramEnd"/>
      <w:r w:rsidRPr="00B54D63">
        <w:t xml:space="preserve"> cover this </w:t>
      </w:r>
      <w:r>
        <w:t>winter peak</w:t>
      </w:r>
      <w:r w:rsidRPr="00B54D63">
        <w:t>.</w:t>
      </w:r>
    </w:p>
    <w:p w14:paraId="000EFC65" w14:textId="77777777" w:rsidR="001278E1" w:rsidRDefault="00CB167D" w:rsidP="00C81E40">
      <w:pPr>
        <w:pStyle w:val="BodyText"/>
      </w:pPr>
      <w:r>
        <w:t>The Project</w:t>
      </w:r>
      <w:r w:rsidRPr="0097044C">
        <w:t xml:space="preserve"> responds to the forecast changes in supply locations and would directly support the timely transfer of higher volumes of gas from the east to the west of the state.</w:t>
      </w:r>
      <w:r>
        <w:t xml:space="preserve"> This will increase</w:t>
      </w:r>
      <w:r w:rsidR="001278E1" w:rsidRPr="00E65F64">
        <w:t xml:space="preserve"> the efficiency in which gas supply can be transported to end-destinations including the Iona </w:t>
      </w:r>
      <w:proofErr w:type="spellStart"/>
      <w:r w:rsidR="001278E1">
        <w:t>UGS</w:t>
      </w:r>
      <w:proofErr w:type="spellEnd"/>
      <w:r w:rsidR="001278E1">
        <w:t xml:space="preserve"> basin</w:t>
      </w:r>
      <w:r w:rsidR="001278E1" w:rsidRPr="00E65F64">
        <w:t xml:space="preserve">, Victorian </w:t>
      </w:r>
      <w:proofErr w:type="gramStart"/>
      <w:r w:rsidR="001278E1" w:rsidRPr="00E65F64">
        <w:t>customers</w:t>
      </w:r>
      <w:proofErr w:type="gramEnd"/>
      <w:r w:rsidR="001278E1" w:rsidRPr="00E65F64">
        <w:t xml:space="preserve"> and export facilities.</w:t>
      </w:r>
    </w:p>
    <w:p w14:paraId="59F5659D" w14:textId="77777777" w:rsidR="001278E1" w:rsidRDefault="001278E1" w:rsidP="00C81E40">
      <w:pPr>
        <w:pStyle w:val="BodyText"/>
      </w:pPr>
      <w:r w:rsidRPr="008754CD">
        <w:t>The Project would make the overall VTS more resilient by allowing gas to be moved at a higher pressure and more efficiently across the VTS, ensuring all Victorians continue to benefit from a reliable gas transmission system.</w:t>
      </w:r>
      <w:r>
        <w:t xml:space="preserve"> </w:t>
      </w:r>
    </w:p>
    <w:p w14:paraId="36481759" w14:textId="77777777" w:rsidR="001278E1" w:rsidRDefault="001278E1" w:rsidP="00C81E40">
      <w:pPr>
        <w:pStyle w:val="BodyText"/>
      </w:pPr>
      <w:r w:rsidRPr="00E65F64">
        <w:t xml:space="preserve">More efficient gas transmission would also facilitate the development of the renewable energy sector. </w:t>
      </w:r>
      <w:r w:rsidRPr="005518C6">
        <w:t>The Victorian Renewable Energy Target (</w:t>
      </w:r>
      <w:proofErr w:type="spellStart"/>
      <w:r w:rsidRPr="005518C6">
        <w:t>VRET</w:t>
      </w:r>
      <w:proofErr w:type="spellEnd"/>
      <w:r w:rsidRPr="005518C6">
        <w:t>) has set a policy goal of achieving 50 per cent renewable energy generation in Victoria by 2030</w:t>
      </w:r>
      <w:r w:rsidRPr="00D34E97">
        <w:rPr>
          <w:vertAlign w:val="superscript"/>
        </w:rPr>
        <w:footnoteReference w:id="2"/>
      </w:r>
      <w:r w:rsidRPr="005518C6">
        <w:t>.</w:t>
      </w:r>
      <w:r>
        <w:t xml:space="preserve"> E</w:t>
      </w:r>
      <w:r w:rsidRPr="0097044C">
        <w:t>nergy generation investment in Victoria (January 2018 to March 2020) has largely comprised wind and solar. As wind and solar generation continues to grow, the intermittent nature of these renewables will require what the Australian Energy Regulator describes as firming capacity, via gas powered plants or storage to support energy reliability and security for consumers.</w:t>
      </w:r>
    </w:p>
    <w:p w14:paraId="06B4743F" w14:textId="77777777" w:rsidR="001278E1" w:rsidRPr="001278E1" w:rsidRDefault="001278E1" w:rsidP="00C81E40">
      <w:pPr>
        <w:pStyle w:val="BodyText"/>
      </w:pPr>
      <w:r w:rsidRPr="005518C6">
        <w:t xml:space="preserve">Beyond 2024, the role of gas will increase in proportion to the decline in coal generation, with gas playing a particularly important role between 2030 and 2050 as the </w:t>
      </w:r>
      <w:r>
        <w:t>renewable</w:t>
      </w:r>
      <w:r w:rsidRPr="005518C6">
        <w:t xml:space="preserve"> energy sector expands in line with </w:t>
      </w:r>
      <w:proofErr w:type="spellStart"/>
      <w:r w:rsidRPr="005518C6">
        <w:t>VRET</w:t>
      </w:r>
      <w:proofErr w:type="spellEnd"/>
      <w:r w:rsidRPr="005518C6">
        <w:t xml:space="preserve"> and broader climate change policy</w:t>
      </w:r>
      <w:r>
        <w:t xml:space="preserve">. As an Australian natural gas infrastructure owner and operator, APA is committed to being part of the successful transition to a lower carbon future. </w:t>
      </w:r>
    </w:p>
    <w:p w14:paraId="53DC503B" w14:textId="77777777" w:rsidR="00D73756" w:rsidRPr="00D73756" w:rsidRDefault="009A4C12" w:rsidP="00C81E40">
      <w:pPr>
        <w:pStyle w:val="Heading4"/>
      </w:pPr>
      <w:bookmarkStart w:id="9" w:name="_Toc71731118"/>
      <w:bookmarkStart w:id="10" w:name="_Toc72510139"/>
      <w:bookmarkStart w:id="11" w:name="_Toc74108839"/>
      <w:r>
        <w:t>Project objectives</w:t>
      </w:r>
      <w:r w:rsidR="00730789">
        <w:t xml:space="preserve"> and benefits</w:t>
      </w:r>
      <w:bookmarkEnd w:id="9"/>
      <w:bookmarkEnd w:id="10"/>
      <w:bookmarkEnd w:id="11"/>
    </w:p>
    <w:p w14:paraId="45FEBBE1" w14:textId="77777777" w:rsidR="00FC7628" w:rsidRDefault="00495EFC" w:rsidP="00C81E40">
      <w:pPr>
        <w:pStyle w:val="BodyText"/>
      </w:pPr>
      <w:r w:rsidRPr="00E65F64" w:rsidDel="00907272">
        <w:t xml:space="preserve">Natural gas is an essential source of energy for Victoria with approximately two million customers a day relying on gas for cooking, </w:t>
      </w:r>
      <w:proofErr w:type="gramStart"/>
      <w:r w:rsidRPr="00E65F64" w:rsidDel="00907272">
        <w:t>heating</w:t>
      </w:r>
      <w:proofErr w:type="gramEnd"/>
      <w:r w:rsidRPr="00E65F64" w:rsidDel="00907272">
        <w:t xml:space="preserve"> and hot water. Natural gas is also used by approximately 60,000 Victorian industrial and commercial users. Gas fired power generation plays a key role in ensuring a reliable electricity network.</w:t>
      </w:r>
      <w:r>
        <w:t xml:space="preserve"> </w:t>
      </w:r>
      <w:r w:rsidR="002F7A2C">
        <w:t>T</w:t>
      </w:r>
      <w:r w:rsidR="002F7A2C" w:rsidRPr="005F6A38">
        <w:t xml:space="preserve">he Project has been designed to provide critical infrastructure for Victoria’s gas supply, distribution, and consequent security, </w:t>
      </w:r>
      <w:proofErr w:type="gramStart"/>
      <w:r w:rsidR="002F7A2C" w:rsidRPr="005F6A38">
        <w:t>efficiency</w:t>
      </w:r>
      <w:proofErr w:type="gramEnd"/>
      <w:r w:rsidR="002F7A2C" w:rsidRPr="005F6A38">
        <w:t xml:space="preserve"> and affordability.</w:t>
      </w:r>
      <w:r w:rsidR="002F7A2C">
        <w:t xml:space="preserve"> Project objectives are:</w:t>
      </w:r>
    </w:p>
    <w:p w14:paraId="587A7569" w14:textId="77777777" w:rsidR="002F7A2C" w:rsidRPr="002F7A2C" w:rsidRDefault="002F7A2C" w:rsidP="00C81E40">
      <w:pPr>
        <w:pStyle w:val="BodyBullet1"/>
      </w:pPr>
      <w:r w:rsidRPr="002F7A2C">
        <w:t>Improved system resilience and security of gas supply</w:t>
      </w:r>
    </w:p>
    <w:p w14:paraId="6CF732B4" w14:textId="77777777" w:rsidR="002F7A2C" w:rsidRPr="002F7A2C" w:rsidRDefault="002F7A2C" w:rsidP="00C81E40">
      <w:pPr>
        <w:pStyle w:val="BodyBullet1"/>
      </w:pPr>
      <w:r w:rsidRPr="002F7A2C">
        <w:t>Increasing the amount of natural gas that can be stored for times of peak demand</w:t>
      </w:r>
    </w:p>
    <w:p w14:paraId="6261235E" w14:textId="77777777" w:rsidR="002F7A2C" w:rsidRPr="002F7A2C" w:rsidRDefault="002F7A2C" w:rsidP="00C81E40">
      <w:pPr>
        <w:pStyle w:val="BodyBullet1"/>
      </w:pPr>
      <w:r w:rsidRPr="002F7A2C">
        <w:t>Improved network performance and reliability</w:t>
      </w:r>
    </w:p>
    <w:p w14:paraId="4396B047" w14:textId="77777777" w:rsidR="002F7A2C" w:rsidRDefault="002F7A2C" w:rsidP="00C81E40">
      <w:pPr>
        <w:pStyle w:val="BodyBullet1"/>
      </w:pPr>
      <w:r w:rsidRPr="002F7A2C">
        <w:t xml:space="preserve">Addressing potential gas shortages as forecast by </w:t>
      </w:r>
      <w:proofErr w:type="spellStart"/>
      <w:r w:rsidRPr="002F7A2C">
        <w:t>AEMO</w:t>
      </w:r>
      <w:proofErr w:type="spellEnd"/>
      <w:r w:rsidRPr="002F7A2C">
        <w:t xml:space="preserve"> in the March 2021 Victorian Gas Planning Report</w:t>
      </w:r>
      <w:r>
        <w:t>.</w:t>
      </w:r>
    </w:p>
    <w:p w14:paraId="06F5798D" w14:textId="77777777" w:rsidR="00500229" w:rsidRDefault="002F7A2C" w:rsidP="00C81E40">
      <w:pPr>
        <w:pStyle w:val="BodyText"/>
      </w:pPr>
      <w:r w:rsidRPr="002F7A2C">
        <w:t xml:space="preserve">The Project would have </w:t>
      </w:r>
      <w:proofErr w:type="gramStart"/>
      <w:r w:rsidRPr="002F7A2C">
        <w:t>a number of</w:t>
      </w:r>
      <w:proofErr w:type="gramEnd"/>
      <w:r w:rsidRPr="002F7A2C">
        <w:t xml:space="preserve"> benefits. Critically, the Project would improve Victoria’s gas network capacity and performance allowing for greater volumes of gas to be efficiently transferred across the state and stored for when it is needed most.</w:t>
      </w:r>
      <w:r>
        <w:t xml:space="preserve"> </w:t>
      </w:r>
    </w:p>
    <w:p w14:paraId="1244BCF7" w14:textId="77777777" w:rsidR="002F7A2C" w:rsidRPr="00FC7628" w:rsidRDefault="002F7A2C" w:rsidP="00C81E40">
      <w:pPr>
        <w:pStyle w:val="BodyText"/>
      </w:pPr>
      <w:r w:rsidRPr="002F7A2C">
        <w:lastRenderedPageBreak/>
        <w:t>It would increase energy security and resilience and address anticipated gas supply shortages in Victoria during times of peak demand</w:t>
      </w:r>
      <w:r>
        <w:t xml:space="preserve"> and make</w:t>
      </w:r>
      <w:r w:rsidRPr="002F7A2C">
        <w:t xml:space="preserve"> the overall VTS more resilient to Longford outages. All Victorians would continue to benefit from a reliable gas transmission system that meets the needs of the community both now and into the future.</w:t>
      </w:r>
    </w:p>
    <w:p w14:paraId="7211FFAF" w14:textId="77777777" w:rsidR="00FC7628" w:rsidRDefault="009A4C12" w:rsidP="00FC7628">
      <w:pPr>
        <w:pStyle w:val="Heading3"/>
      </w:pPr>
      <w:bookmarkStart w:id="12" w:name="_Toc71731119"/>
      <w:bookmarkStart w:id="13" w:name="_Toc72495994"/>
      <w:bookmarkStart w:id="14" w:name="_Toc72510140"/>
      <w:bookmarkStart w:id="15" w:name="_Toc74108840"/>
      <w:r>
        <w:t>The Project</w:t>
      </w:r>
      <w:bookmarkEnd w:id="12"/>
      <w:bookmarkEnd w:id="13"/>
      <w:bookmarkEnd w:id="14"/>
      <w:bookmarkEnd w:id="15"/>
    </w:p>
    <w:p w14:paraId="378AC001" w14:textId="77777777" w:rsidR="003A7F20" w:rsidRDefault="003A7F20" w:rsidP="00C81E40">
      <w:pPr>
        <w:pStyle w:val="BodyText"/>
      </w:pPr>
      <w:r>
        <w:t xml:space="preserve">The Project comprises three key components: </w:t>
      </w:r>
    </w:p>
    <w:p w14:paraId="60F4C1B3" w14:textId="40CA5598" w:rsidR="003A7F20" w:rsidRDefault="007A4E99" w:rsidP="00C81E40">
      <w:pPr>
        <w:pStyle w:val="BodyBullet1"/>
      </w:pPr>
      <w:r>
        <w:t>A</w:t>
      </w:r>
      <w:r w:rsidR="003A7F20">
        <w:t xml:space="preserve"> new fully buried pipeline 51 kilometres in length</w:t>
      </w:r>
      <w:r w:rsidR="00382518">
        <w:t xml:space="preserve">. Key pipeline data is provided in </w:t>
      </w:r>
      <w:r w:rsidR="00382518">
        <w:fldChar w:fldCharType="begin"/>
      </w:r>
      <w:r w:rsidR="00382518">
        <w:instrText xml:space="preserve"> REF _Ref67316429 \h </w:instrText>
      </w:r>
      <w:r w:rsidR="00382518">
        <w:fldChar w:fldCharType="separate"/>
      </w:r>
      <w:r w:rsidR="00E94BD2" w:rsidRPr="00540FAB">
        <w:t>Table</w:t>
      </w:r>
      <w:r w:rsidR="00E94BD2">
        <w:t> </w:t>
      </w:r>
      <w:r w:rsidR="00E94BD2">
        <w:rPr>
          <w:noProof/>
        </w:rPr>
        <w:t>1</w:t>
      </w:r>
      <w:r w:rsidR="00382518">
        <w:fldChar w:fldCharType="end"/>
      </w:r>
      <w:r w:rsidR="003A7F20">
        <w:t xml:space="preserve"> </w:t>
      </w:r>
    </w:p>
    <w:p w14:paraId="28B7D9FA" w14:textId="77777777" w:rsidR="003A7F20" w:rsidRDefault="007A4E99" w:rsidP="00C81E40">
      <w:pPr>
        <w:pStyle w:val="BodyBullet1"/>
      </w:pPr>
      <w:r>
        <w:t>T</w:t>
      </w:r>
      <w:r w:rsidR="003A7F20">
        <w:t>hree mainline valves located along the pipeline alignment near kilometre points (</w:t>
      </w:r>
      <w:proofErr w:type="spellStart"/>
      <w:r w:rsidR="003A7F20">
        <w:t>KP</w:t>
      </w:r>
      <w:proofErr w:type="spellEnd"/>
      <w:r w:rsidR="003A7F20">
        <w:t xml:space="preserve">) 6, </w:t>
      </w:r>
      <w:proofErr w:type="spellStart"/>
      <w:r w:rsidR="003A7F20">
        <w:t>KP22</w:t>
      </w:r>
      <w:proofErr w:type="spellEnd"/>
      <w:r w:rsidR="003A7F20">
        <w:t xml:space="preserve"> and near </w:t>
      </w:r>
      <w:proofErr w:type="spellStart"/>
      <w:r w:rsidR="003A7F20">
        <w:t>KP</w:t>
      </w:r>
      <w:proofErr w:type="spellEnd"/>
      <w:r w:rsidR="003A7F20">
        <w:t xml:space="preserve"> 35 </w:t>
      </w:r>
    </w:p>
    <w:p w14:paraId="30321F84" w14:textId="77777777" w:rsidR="003A7F20" w:rsidRDefault="007A4E99" w:rsidP="00C81E40">
      <w:pPr>
        <w:pStyle w:val="BodyBullet1"/>
      </w:pPr>
      <w:r>
        <w:t>A</w:t>
      </w:r>
      <w:r w:rsidR="003A7F20">
        <w:t xml:space="preserve">n upgrade of the Wollert Compressor Station (including construction of new Solar Centaur 50 compressor, an end of line scraper station and a regulating station) within the existing APA facility at Wollert. </w:t>
      </w:r>
    </w:p>
    <w:p w14:paraId="0DEFE0AD" w14:textId="0C97CAF8" w:rsidR="003A7F20" w:rsidRDefault="003A7F20" w:rsidP="0033738D">
      <w:pPr>
        <w:pStyle w:val="Caption"/>
        <w:spacing w:before="240" w:after="200"/>
      </w:pPr>
      <w:bookmarkStart w:id="16" w:name="_Ref67316429"/>
      <w:r w:rsidRPr="00540FAB">
        <w:t>Table</w:t>
      </w:r>
      <w:r w:rsidR="00CE5CD3">
        <w:t> </w:t>
      </w:r>
      <w:r w:rsidR="00113B39">
        <w:fldChar w:fldCharType="begin"/>
      </w:r>
      <w:r w:rsidR="00113B39">
        <w:instrText xml:space="preserve"> SEQ Table \*</w:instrText>
      </w:r>
      <w:r w:rsidR="00113B39">
        <w:instrText xml:space="preserve"> ARABIC </w:instrText>
      </w:r>
      <w:r w:rsidR="00113B39">
        <w:fldChar w:fldCharType="separate"/>
      </w:r>
      <w:r w:rsidR="00C320AC">
        <w:rPr>
          <w:noProof/>
        </w:rPr>
        <w:t>1</w:t>
      </w:r>
      <w:r w:rsidR="00113B39">
        <w:rPr>
          <w:noProof/>
        </w:rPr>
        <w:fldChar w:fldCharType="end"/>
      </w:r>
      <w:bookmarkEnd w:id="16"/>
      <w:r w:rsidR="003F1102">
        <w:tab/>
      </w:r>
      <w:r w:rsidRPr="00540FAB">
        <w:t>Key pipeline data</w:t>
      </w:r>
    </w:p>
    <w:tbl>
      <w:tblPr>
        <w:tblStyle w:val="MainTableStyle"/>
        <w:tblW w:w="0" w:type="auto"/>
        <w:tblLook w:val="0420" w:firstRow="1" w:lastRow="0" w:firstColumn="0" w:lastColumn="0" w:noHBand="0" w:noVBand="1"/>
      </w:tblPr>
      <w:tblGrid>
        <w:gridCol w:w="1899"/>
        <w:gridCol w:w="7161"/>
      </w:tblGrid>
      <w:tr w:rsidR="00C81E40" w:rsidRPr="00806E09" w14:paraId="5C6D4F46" w14:textId="77777777" w:rsidTr="00416B51">
        <w:trPr>
          <w:cnfStyle w:val="100000000000" w:firstRow="1" w:lastRow="0" w:firstColumn="0" w:lastColumn="0" w:oddVBand="0" w:evenVBand="0" w:oddHBand="0" w:evenHBand="0" w:firstRowFirstColumn="0" w:firstRowLastColumn="0" w:lastRowFirstColumn="0" w:lastRowLastColumn="0"/>
        </w:trPr>
        <w:tc>
          <w:tcPr>
            <w:tcW w:w="0" w:type="auto"/>
            <w:gridSpan w:val="2"/>
          </w:tcPr>
          <w:p w14:paraId="468AF888" w14:textId="77777777" w:rsidR="00C81E40" w:rsidRPr="003A7F20" w:rsidRDefault="00C81E40" w:rsidP="00416B51">
            <w:pPr>
              <w:pStyle w:val="TableText"/>
            </w:pPr>
            <w:r w:rsidRPr="00540FAB">
              <w:t>Underground pipeline key data</w:t>
            </w:r>
          </w:p>
        </w:tc>
      </w:tr>
      <w:tr w:rsidR="00C81E40" w:rsidRPr="00806E09" w14:paraId="6F797915" w14:textId="77777777" w:rsidTr="00416B51">
        <w:tc>
          <w:tcPr>
            <w:tcW w:w="1899" w:type="dxa"/>
          </w:tcPr>
          <w:p w14:paraId="68871069" w14:textId="77777777" w:rsidR="00C81E40" w:rsidRPr="003A7F20" w:rsidRDefault="00C81E40" w:rsidP="00416B51">
            <w:pPr>
              <w:pStyle w:val="TableText"/>
            </w:pPr>
            <w:r w:rsidRPr="00540FAB">
              <w:t>Length</w:t>
            </w:r>
          </w:p>
        </w:tc>
        <w:tc>
          <w:tcPr>
            <w:tcW w:w="7161" w:type="dxa"/>
          </w:tcPr>
          <w:p w14:paraId="208D8023" w14:textId="77777777" w:rsidR="00C81E40" w:rsidRPr="003A7F20" w:rsidRDefault="00C81E40" w:rsidP="00416B51">
            <w:pPr>
              <w:pStyle w:val="TableText"/>
            </w:pPr>
            <w:r w:rsidRPr="00540FAB">
              <w:t>51.045 km</w:t>
            </w:r>
            <w:r>
              <w:t>.</w:t>
            </w:r>
          </w:p>
        </w:tc>
      </w:tr>
      <w:tr w:rsidR="00C81E40" w:rsidRPr="00806E09" w14:paraId="7E9850F3" w14:textId="77777777" w:rsidTr="00416B51">
        <w:tc>
          <w:tcPr>
            <w:tcW w:w="1899" w:type="dxa"/>
          </w:tcPr>
          <w:p w14:paraId="22270794" w14:textId="77777777" w:rsidR="00C81E40" w:rsidRPr="003A7F20" w:rsidRDefault="00C81E40" w:rsidP="00416B51">
            <w:pPr>
              <w:pStyle w:val="TableText"/>
            </w:pPr>
            <w:r w:rsidRPr="00540FAB">
              <w:t>Material</w:t>
            </w:r>
          </w:p>
        </w:tc>
        <w:tc>
          <w:tcPr>
            <w:tcW w:w="7161" w:type="dxa"/>
          </w:tcPr>
          <w:p w14:paraId="4E5A7070" w14:textId="77777777" w:rsidR="00C81E40" w:rsidRPr="003A7F20" w:rsidRDefault="00C81E40" w:rsidP="00416B51">
            <w:pPr>
              <w:pStyle w:val="TableText"/>
            </w:pPr>
            <w:r w:rsidRPr="00540FAB">
              <w:t xml:space="preserve">American Petroleum </w:t>
            </w:r>
            <w:r w:rsidRPr="003A7F20">
              <w:t xml:space="preserve">Institute (API) Specification </w:t>
            </w:r>
            <w:proofErr w:type="spellStart"/>
            <w:r w:rsidRPr="003A7F20">
              <w:t>5L</w:t>
            </w:r>
            <w:proofErr w:type="spellEnd"/>
            <w:r w:rsidRPr="003A7F20">
              <w:t xml:space="preserve"> </w:t>
            </w:r>
            <w:proofErr w:type="spellStart"/>
            <w:r w:rsidRPr="003A7F20">
              <w:t>X52</w:t>
            </w:r>
            <w:proofErr w:type="spellEnd"/>
            <w:r w:rsidRPr="003A7F20">
              <w:t xml:space="preserve"> high strength steel pipe. Internally lined with epoxy and externally coated with dual layer fusion bonded epoxy with field applied joint coating</w:t>
            </w:r>
            <w:r>
              <w:t>.</w:t>
            </w:r>
          </w:p>
        </w:tc>
      </w:tr>
      <w:tr w:rsidR="00C81E40" w:rsidRPr="00806E09" w14:paraId="63A59BD9" w14:textId="77777777" w:rsidTr="00416B51">
        <w:tc>
          <w:tcPr>
            <w:tcW w:w="1899" w:type="dxa"/>
          </w:tcPr>
          <w:p w14:paraId="3466796F" w14:textId="77777777" w:rsidR="00C81E40" w:rsidRPr="003A7F20" w:rsidRDefault="00C81E40" w:rsidP="00416B51">
            <w:pPr>
              <w:pStyle w:val="TableText"/>
            </w:pPr>
            <w:r w:rsidRPr="00540FAB">
              <w:t>Nominal diameter</w:t>
            </w:r>
          </w:p>
        </w:tc>
        <w:tc>
          <w:tcPr>
            <w:tcW w:w="7161" w:type="dxa"/>
          </w:tcPr>
          <w:p w14:paraId="5A4D543D" w14:textId="77777777" w:rsidR="00C81E40" w:rsidRPr="003A7F20" w:rsidRDefault="00C81E40" w:rsidP="00416B51">
            <w:pPr>
              <w:pStyle w:val="TableText"/>
            </w:pPr>
            <w:r w:rsidRPr="00540FAB">
              <w:t>600 mm</w:t>
            </w:r>
            <w:r>
              <w:t>.</w:t>
            </w:r>
          </w:p>
        </w:tc>
      </w:tr>
      <w:tr w:rsidR="00C81E40" w:rsidRPr="00806E09" w14:paraId="2DD0DB8E" w14:textId="77777777" w:rsidTr="00416B51">
        <w:tc>
          <w:tcPr>
            <w:tcW w:w="1899" w:type="dxa"/>
          </w:tcPr>
          <w:p w14:paraId="6358BF0D" w14:textId="77777777" w:rsidR="00C81E40" w:rsidRPr="003A7F20" w:rsidRDefault="00C81E40" w:rsidP="00416B51">
            <w:pPr>
              <w:pStyle w:val="TableText"/>
            </w:pPr>
            <w:r w:rsidRPr="00540FAB">
              <w:t>Nominal capacity</w:t>
            </w:r>
          </w:p>
        </w:tc>
        <w:tc>
          <w:tcPr>
            <w:tcW w:w="7161" w:type="dxa"/>
          </w:tcPr>
          <w:p w14:paraId="5EA65327" w14:textId="77777777" w:rsidR="00C81E40" w:rsidRPr="003A7F20" w:rsidRDefault="00C81E40" w:rsidP="00416B51">
            <w:pPr>
              <w:pStyle w:val="TableText"/>
            </w:pPr>
            <w:r w:rsidRPr="00540FAB">
              <w:t>Approximately 750 TJ/day</w:t>
            </w:r>
            <w:r>
              <w:t>.</w:t>
            </w:r>
          </w:p>
        </w:tc>
      </w:tr>
      <w:tr w:rsidR="00C81E40" w:rsidRPr="00806E09" w14:paraId="41C1E1E0" w14:textId="77777777" w:rsidTr="00416B51">
        <w:tc>
          <w:tcPr>
            <w:tcW w:w="1899" w:type="dxa"/>
          </w:tcPr>
          <w:p w14:paraId="4083AF00" w14:textId="77777777" w:rsidR="00C81E40" w:rsidRPr="003A7F20" w:rsidRDefault="00C81E40" w:rsidP="00416B51">
            <w:pPr>
              <w:pStyle w:val="TableText"/>
            </w:pPr>
            <w:r w:rsidRPr="00540FAB">
              <w:t xml:space="preserve">Pipe </w:t>
            </w:r>
            <w:r w:rsidRPr="003A7F20">
              <w:t>wall thickness</w:t>
            </w:r>
          </w:p>
        </w:tc>
        <w:tc>
          <w:tcPr>
            <w:tcW w:w="7161" w:type="dxa"/>
          </w:tcPr>
          <w:p w14:paraId="16DD79BB" w14:textId="77777777" w:rsidR="00C81E40" w:rsidRPr="003A7F20" w:rsidRDefault="00C81E40" w:rsidP="00416B51">
            <w:pPr>
              <w:pStyle w:val="TableText"/>
            </w:pPr>
            <w:r w:rsidRPr="00F176B7">
              <w:t>10.31 mm standard wall thickness</w:t>
            </w:r>
            <w:r>
              <w:t>.</w:t>
            </w:r>
          </w:p>
          <w:p w14:paraId="4993AF88" w14:textId="77777777" w:rsidR="00C81E40" w:rsidRPr="003A7F20" w:rsidRDefault="00C81E40" w:rsidP="00416B51">
            <w:pPr>
              <w:pStyle w:val="TableText"/>
            </w:pPr>
            <w:r w:rsidRPr="00F176B7">
              <w:t>12.7 mm heavy wall thickness</w:t>
            </w:r>
            <w:r>
              <w:t>.</w:t>
            </w:r>
          </w:p>
        </w:tc>
      </w:tr>
      <w:tr w:rsidR="00C81E40" w:rsidRPr="00806E09" w14:paraId="5A1E8FF4" w14:textId="77777777" w:rsidTr="00416B51">
        <w:tc>
          <w:tcPr>
            <w:tcW w:w="1899" w:type="dxa"/>
          </w:tcPr>
          <w:p w14:paraId="460336AD" w14:textId="77777777" w:rsidR="00C81E40" w:rsidRPr="003A7F20" w:rsidRDefault="00C81E40" w:rsidP="00416B51">
            <w:pPr>
              <w:pStyle w:val="TableText"/>
            </w:pPr>
            <w:r w:rsidRPr="00540FAB">
              <w:t>Pipe segment length</w:t>
            </w:r>
          </w:p>
        </w:tc>
        <w:tc>
          <w:tcPr>
            <w:tcW w:w="7161" w:type="dxa"/>
          </w:tcPr>
          <w:p w14:paraId="04555EB2" w14:textId="77777777" w:rsidR="00C81E40" w:rsidRPr="003A7F20" w:rsidRDefault="00C81E40" w:rsidP="00416B51">
            <w:pPr>
              <w:pStyle w:val="TableText"/>
            </w:pPr>
            <w:r w:rsidRPr="00540FAB">
              <w:t>18 m</w:t>
            </w:r>
            <w:r>
              <w:t>.</w:t>
            </w:r>
          </w:p>
        </w:tc>
      </w:tr>
      <w:tr w:rsidR="00C81E40" w:rsidRPr="00806E09" w14:paraId="614B04DD" w14:textId="77777777" w:rsidTr="00416B51">
        <w:tc>
          <w:tcPr>
            <w:tcW w:w="1899" w:type="dxa"/>
          </w:tcPr>
          <w:p w14:paraId="618573CE" w14:textId="77777777" w:rsidR="00C81E40" w:rsidRPr="003A7F20" w:rsidRDefault="00C81E40" w:rsidP="00416B51">
            <w:pPr>
              <w:pStyle w:val="TableText"/>
            </w:pPr>
            <w:r w:rsidRPr="00540FAB">
              <w:t>Depth of cover (depth below ground surface)</w:t>
            </w:r>
          </w:p>
        </w:tc>
        <w:tc>
          <w:tcPr>
            <w:tcW w:w="7161" w:type="dxa"/>
          </w:tcPr>
          <w:p w14:paraId="57B8A2D1" w14:textId="77777777" w:rsidR="00C81E40" w:rsidRPr="003A7F20" w:rsidRDefault="00C81E40" w:rsidP="00416B51">
            <w:pPr>
              <w:pStyle w:val="TableText"/>
            </w:pPr>
            <w:r w:rsidRPr="00540FAB">
              <w:t>Minimum of 750 mm to the top of the pipeline (deeper at crossing of third-party infrastructure and waterways). The final depth wo</w:t>
            </w:r>
            <w:r w:rsidRPr="003A7F20">
              <w:t>uld be determined as an outcome of the Safety Management Study</w:t>
            </w:r>
            <w:r>
              <w:t>.</w:t>
            </w:r>
          </w:p>
        </w:tc>
      </w:tr>
      <w:tr w:rsidR="00C81E40" w:rsidRPr="00806E09" w14:paraId="221DB5FF" w14:textId="77777777" w:rsidTr="00416B51">
        <w:tc>
          <w:tcPr>
            <w:tcW w:w="1899" w:type="dxa"/>
          </w:tcPr>
          <w:p w14:paraId="1606836E" w14:textId="77777777" w:rsidR="00C81E40" w:rsidRPr="003A7F20" w:rsidRDefault="00C81E40" w:rsidP="00416B51">
            <w:pPr>
              <w:pStyle w:val="TableText"/>
            </w:pPr>
            <w:r w:rsidRPr="00540FAB">
              <w:t>Easement</w:t>
            </w:r>
          </w:p>
        </w:tc>
        <w:tc>
          <w:tcPr>
            <w:tcW w:w="7161" w:type="dxa"/>
          </w:tcPr>
          <w:p w14:paraId="12ECD114" w14:textId="77777777" w:rsidR="00C81E40" w:rsidRPr="003A7F20" w:rsidRDefault="00C81E40" w:rsidP="00416B51">
            <w:pPr>
              <w:pStyle w:val="TableText"/>
            </w:pPr>
            <w:r w:rsidRPr="00540FAB">
              <w:t>Nominally 15 m wide</w:t>
            </w:r>
            <w:r>
              <w:t>.</w:t>
            </w:r>
          </w:p>
        </w:tc>
      </w:tr>
      <w:tr w:rsidR="00C81E40" w:rsidRPr="00806E09" w14:paraId="0AB0D689" w14:textId="77777777" w:rsidTr="00416B51">
        <w:tc>
          <w:tcPr>
            <w:tcW w:w="1899" w:type="dxa"/>
          </w:tcPr>
          <w:p w14:paraId="68DBC749" w14:textId="77777777" w:rsidR="00C81E40" w:rsidRPr="003A7F20" w:rsidRDefault="00C81E40" w:rsidP="00416B51">
            <w:pPr>
              <w:pStyle w:val="TableText"/>
            </w:pPr>
            <w:r w:rsidRPr="00540FAB">
              <w:t>Design principles</w:t>
            </w:r>
          </w:p>
        </w:tc>
        <w:tc>
          <w:tcPr>
            <w:tcW w:w="7161" w:type="dxa"/>
          </w:tcPr>
          <w:p w14:paraId="52791894" w14:textId="77777777" w:rsidR="00C81E40" w:rsidRPr="003A7F20" w:rsidRDefault="00C81E40" w:rsidP="00416B51">
            <w:pPr>
              <w:pStyle w:val="TableText"/>
              <w:ind w:right="-57"/>
            </w:pPr>
            <w:r w:rsidRPr="00540FAB">
              <w:t xml:space="preserve">Strictly in accordance with the latest version of </w:t>
            </w:r>
            <w:proofErr w:type="spellStart"/>
            <w:r w:rsidRPr="00540FAB">
              <w:t>AS2885</w:t>
            </w:r>
            <w:proofErr w:type="spellEnd"/>
            <w:r w:rsidRPr="00540FAB">
              <w:t xml:space="preserve"> Pipelines </w:t>
            </w:r>
            <w:r>
              <w:t>–</w:t>
            </w:r>
            <w:r w:rsidRPr="00540FAB">
              <w:t xml:space="preserve"> Gas and liquid petroleum</w:t>
            </w:r>
            <w:r>
              <w:t>.</w:t>
            </w:r>
          </w:p>
        </w:tc>
      </w:tr>
      <w:tr w:rsidR="00C81E40" w:rsidRPr="00806E09" w14:paraId="434AEFAD" w14:textId="77777777" w:rsidTr="00416B51">
        <w:tc>
          <w:tcPr>
            <w:tcW w:w="1899" w:type="dxa"/>
          </w:tcPr>
          <w:p w14:paraId="3D230768" w14:textId="77777777" w:rsidR="00C81E40" w:rsidRPr="003A7F20" w:rsidRDefault="00C81E40" w:rsidP="00416B51">
            <w:pPr>
              <w:pStyle w:val="TableText"/>
            </w:pPr>
            <w:r w:rsidRPr="00540FAB">
              <w:t>Design life</w:t>
            </w:r>
          </w:p>
        </w:tc>
        <w:tc>
          <w:tcPr>
            <w:tcW w:w="7161" w:type="dxa"/>
          </w:tcPr>
          <w:p w14:paraId="03DFFF1F" w14:textId="77777777" w:rsidR="00C81E40" w:rsidRPr="003A7F20" w:rsidRDefault="00C81E40" w:rsidP="00416B51">
            <w:pPr>
              <w:pStyle w:val="TableText"/>
            </w:pPr>
            <w:r w:rsidRPr="00540FAB">
              <w:t>60 years</w:t>
            </w:r>
            <w:r>
              <w:t>.</w:t>
            </w:r>
          </w:p>
        </w:tc>
      </w:tr>
    </w:tbl>
    <w:p w14:paraId="2CD98828" w14:textId="77777777" w:rsidR="009A4C12" w:rsidRDefault="000D5B94" w:rsidP="00D34E97">
      <w:pPr>
        <w:pStyle w:val="Heading4"/>
        <w:spacing w:after="200"/>
      </w:pPr>
      <w:bookmarkStart w:id="17" w:name="_Toc71731120"/>
      <w:bookmarkStart w:id="18" w:name="_Toc72510141"/>
      <w:bookmarkStart w:id="19" w:name="_Toc74108841"/>
      <w:r>
        <w:t>Project development and alternatives</w:t>
      </w:r>
      <w:bookmarkEnd w:id="17"/>
      <w:bookmarkEnd w:id="18"/>
      <w:bookmarkEnd w:id="19"/>
    </w:p>
    <w:p w14:paraId="304924DF" w14:textId="307300CD" w:rsidR="004C2FF0" w:rsidRDefault="004C2FF0" w:rsidP="00D34E97">
      <w:pPr>
        <w:pStyle w:val="BodyText"/>
        <w:spacing w:before="200"/>
      </w:pPr>
      <w:r>
        <w:t xml:space="preserve">Route options for the Project, have been considered since at least 2007 </w:t>
      </w:r>
      <w:r w:rsidRPr="001200A2">
        <w:t>and discuss</w:t>
      </w:r>
      <w:r>
        <w:t>ed</w:t>
      </w:r>
      <w:r w:rsidRPr="001200A2">
        <w:t xml:space="preserve"> with </w:t>
      </w:r>
      <w:r>
        <w:t xml:space="preserve">energy regulators </w:t>
      </w:r>
      <w:r w:rsidRPr="001200A2">
        <w:t>since 2012</w:t>
      </w:r>
      <w:r>
        <w:t xml:space="preserve">. From early 2018, APA has undertaken a comprehensive investigation process to identify and consider five key pipeline alignment options. The </w:t>
      </w:r>
      <w:r w:rsidRPr="00E96993">
        <w:rPr>
          <w:rStyle w:val="Italics"/>
        </w:rPr>
        <w:t xml:space="preserve">Route Options Report </w:t>
      </w:r>
      <w:r w:rsidR="004D519B">
        <w:rPr>
          <w:rStyle w:val="Italics"/>
        </w:rPr>
        <w:t>–</w:t>
      </w:r>
      <w:r w:rsidRPr="00E96993">
        <w:rPr>
          <w:rStyle w:val="Italics"/>
        </w:rPr>
        <w:t xml:space="preserve"> Western Outer Ring Main Project (APA, March 2019)</w:t>
      </w:r>
      <w:r>
        <w:t xml:space="preserve"> is available on the APA Project website</w:t>
      </w:r>
      <w:r>
        <w:rPr>
          <w:rStyle w:val="FootnoteReference"/>
        </w:rPr>
        <w:footnoteReference w:id="3"/>
      </w:r>
      <w:r>
        <w:t>.</w:t>
      </w:r>
    </w:p>
    <w:p w14:paraId="01185DA6" w14:textId="77777777" w:rsidR="000D5B94" w:rsidRDefault="004C2FF0" w:rsidP="00C81E40">
      <w:pPr>
        <w:pStyle w:val="BodyText"/>
      </w:pPr>
      <w:r w:rsidRPr="00064C83">
        <w:lastRenderedPageBreak/>
        <w:t xml:space="preserve">Despite being the longest route alignment identified (almost 12 kilometres longer than then shortest route proposed) </w:t>
      </w:r>
      <w:r>
        <w:t xml:space="preserve">and the second costliest option, the </w:t>
      </w:r>
      <w:r w:rsidR="00C03203">
        <w:t xml:space="preserve">preferred </w:t>
      </w:r>
      <w:r>
        <w:t xml:space="preserve">route outlined in the </w:t>
      </w:r>
      <w:r w:rsidR="00C03203">
        <w:t>Environment Effects Statement (EES)</w:t>
      </w:r>
      <w:r w:rsidRPr="00064C83">
        <w:t xml:space="preserve"> was assessed as being the optimum alignment for satisfying </w:t>
      </w:r>
      <w:r>
        <w:t>the</w:t>
      </w:r>
      <w:r w:rsidRPr="00064C83">
        <w:t xml:space="preserve"> </w:t>
      </w:r>
      <w:r>
        <w:t xml:space="preserve">environment and heritage, </w:t>
      </w:r>
      <w:proofErr w:type="gramStart"/>
      <w:r>
        <w:t>community</w:t>
      </w:r>
      <w:proofErr w:type="gramEnd"/>
      <w:r>
        <w:t xml:space="preserve"> and land </w:t>
      </w:r>
      <w:r w:rsidRPr="00064C83">
        <w:t>criteria</w:t>
      </w:r>
      <w:r>
        <w:t>,</w:t>
      </w:r>
      <w:r w:rsidRPr="00064C83">
        <w:t xml:space="preserve"> which </w:t>
      </w:r>
      <w:r>
        <w:t xml:space="preserve">were </w:t>
      </w:r>
      <w:r w:rsidRPr="00064C83">
        <w:t>weighted with the greatest importanc</w:t>
      </w:r>
      <w:r>
        <w:t>e</w:t>
      </w:r>
      <w:r w:rsidRPr="00064C83">
        <w:t xml:space="preserve">. </w:t>
      </w:r>
      <w:r>
        <w:t>This</w:t>
      </w:r>
      <w:r w:rsidR="00E94BD2">
        <w:t> </w:t>
      </w:r>
      <w:r w:rsidR="000D5B94">
        <w:t xml:space="preserve">route also </w:t>
      </w:r>
      <w:r w:rsidR="000D5B94" w:rsidRPr="00064C83">
        <w:t>scored well in terms of constructability and operability</w:t>
      </w:r>
      <w:r w:rsidR="000D5B94">
        <w:t xml:space="preserve">. </w:t>
      </w:r>
    </w:p>
    <w:p w14:paraId="1ECD6C98" w14:textId="16316ECE" w:rsidR="00DB5B9C" w:rsidRDefault="00E94BD2" w:rsidP="00C81E40">
      <w:pPr>
        <w:pStyle w:val="BodyText"/>
      </w:pPr>
      <w:r>
        <w:fldChar w:fldCharType="begin"/>
      </w:r>
      <w:r>
        <w:instrText xml:space="preserve"> REF _Ref71730894 \h </w:instrText>
      </w:r>
      <w:r>
        <w:fldChar w:fldCharType="separate"/>
      </w:r>
      <w:r>
        <w:t>Figure </w:t>
      </w:r>
      <w:r>
        <w:rPr>
          <w:noProof/>
        </w:rPr>
        <w:t>2</w:t>
      </w:r>
      <w:r>
        <w:fldChar w:fldCharType="end"/>
      </w:r>
      <w:r>
        <w:t xml:space="preserve"> </w:t>
      </w:r>
      <w:r w:rsidR="000D5B94">
        <w:t>presents a</w:t>
      </w:r>
      <w:r w:rsidR="000D5B94" w:rsidRPr="00823F61">
        <w:t xml:space="preserve"> map of the pipeline route and surrounding areas</w:t>
      </w:r>
      <w:r w:rsidR="000D5B94" w:rsidRPr="004E5CEB">
        <w:t>.</w:t>
      </w:r>
    </w:p>
    <w:p w14:paraId="49CBBB0B" w14:textId="070A28A7" w:rsidR="004C2FF0" w:rsidRDefault="0033738D" w:rsidP="00C81E40">
      <w:pPr>
        <w:pStyle w:val="Caption"/>
      </w:pPr>
      <w:bookmarkStart w:id="20" w:name="_Ref71730894"/>
      <w:r>
        <w:t>Figure </w:t>
      </w:r>
      <w:bookmarkStart w:id="21" w:name="_Ref70003836"/>
      <w:r w:rsidR="00EF395C">
        <w:fldChar w:fldCharType="begin"/>
      </w:r>
      <w:r w:rsidR="00EF395C">
        <w:instrText xml:space="preserve"> SEQ Figure \* ARABIC </w:instrText>
      </w:r>
      <w:r w:rsidR="00EF395C">
        <w:fldChar w:fldCharType="separate"/>
      </w:r>
      <w:r w:rsidR="00C320AC">
        <w:rPr>
          <w:noProof/>
        </w:rPr>
        <w:t>2</w:t>
      </w:r>
      <w:r w:rsidR="00EF395C">
        <w:rPr>
          <w:noProof/>
        </w:rPr>
        <w:fldChar w:fldCharType="end"/>
      </w:r>
      <w:bookmarkEnd w:id="21"/>
      <w:bookmarkEnd w:id="20"/>
      <w:r w:rsidR="004C2FF0">
        <w:tab/>
        <w:t>Pipeline route</w:t>
      </w:r>
    </w:p>
    <w:p w14:paraId="27D36057" w14:textId="77777777" w:rsidR="004C2FF0" w:rsidRDefault="00C81E40" w:rsidP="00C81E40">
      <w:pPr>
        <w:pStyle w:val="BodyTextSingleSpacing"/>
      </w:pPr>
      <w:r w:rsidRPr="00E905E6">
        <w:rPr>
          <w:noProof/>
        </w:rPr>
        <w:drawing>
          <wp:inline distT="0" distB="0" distL="0" distR="0" wp14:anchorId="4C91C117" wp14:editId="0EA975A3">
            <wp:extent cx="5760000" cy="5530791"/>
            <wp:effectExtent l="0" t="0" r="0" b="0"/>
            <wp:docPr id="20" name="Picture 20" descr="This figure shows the project context, surrounding areas and the WORM pipeline alignment. The pipeline alignment travels from Plumpton (to the west of Melbourne CBD) towards Wollert (to the north of Melbourne 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is figure shows the project context, surrounding areas and the WORM pipeline alignment. The pipeline alignment travels from Plumpton (to the west of Melbourne CBD) towards Wollert (to the north of Melbourne CBD)."/>
                    <pic:cNvPicPr/>
                  </pic:nvPicPr>
                  <pic:blipFill>
                    <a:blip r:embed="rId21"/>
                    <a:stretch>
                      <a:fillRect/>
                    </a:stretch>
                  </pic:blipFill>
                  <pic:spPr>
                    <a:xfrm>
                      <a:off x="0" y="0"/>
                      <a:ext cx="5760000" cy="5530791"/>
                    </a:xfrm>
                    <a:prstGeom prst="rect">
                      <a:avLst/>
                    </a:prstGeom>
                  </pic:spPr>
                </pic:pic>
              </a:graphicData>
            </a:graphic>
          </wp:inline>
        </w:drawing>
      </w:r>
    </w:p>
    <w:p w14:paraId="7323A266" w14:textId="77777777" w:rsidR="000D5B94" w:rsidRDefault="000D5B94" w:rsidP="00C81E40">
      <w:pPr>
        <w:pStyle w:val="BodyText"/>
        <w:spacing w:before="360"/>
        <w:ind w:right="-170"/>
      </w:pPr>
      <w:r w:rsidRPr="00064C83">
        <w:t xml:space="preserve">Through stakeholder consultation and engagement with </w:t>
      </w:r>
      <w:r>
        <w:t>landowners and VicRoads (now the Department of Transport (DoT)) from early 2019 and through the EES preparation to early 2021</w:t>
      </w:r>
      <w:r w:rsidRPr="00064C83">
        <w:t xml:space="preserve">, further route refinement was undertaken with </w:t>
      </w:r>
      <w:proofErr w:type="gramStart"/>
      <w:r w:rsidRPr="00064C83">
        <w:t>a number of</w:t>
      </w:r>
      <w:proofErr w:type="gramEnd"/>
      <w:r w:rsidRPr="00064C83">
        <w:t xml:space="preserve"> changes being incorporated as a result</w:t>
      </w:r>
      <w:r w:rsidR="00C81E40">
        <w:t xml:space="preserve"> </w:t>
      </w:r>
      <w:r w:rsidR="00C81E40" w:rsidRPr="00E905E6">
        <w:t>including:</w:t>
      </w:r>
      <w:r>
        <w:t xml:space="preserve"> </w:t>
      </w:r>
    </w:p>
    <w:p w14:paraId="391A171F" w14:textId="77777777" w:rsidR="000D5B94" w:rsidRPr="00064C83" w:rsidRDefault="000D5B94" w:rsidP="000D5B94">
      <w:pPr>
        <w:pStyle w:val="BodyBullet1"/>
      </w:pPr>
      <w:r>
        <w:t xml:space="preserve">Minor alignment changes at the crossings of Jacksons Creek, Sunbury Road and Deep Creek </w:t>
      </w:r>
    </w:p>
    <w:p w14:paraId="38F5C1AD" w14:textId="6E636316" w:rsidR="000D5B94" w:rsidRPr="00064C83" w:rsidRDefault="000D5B94" w:rsidP="000D5B94">
      <w:pPr>
        <w:pStyle w:val="BodyBullet1"/>
      </w:pPr>
      <w:r>
        <w:lastRenderedPageBreak/>
        <w:t xml:space="preserve">Refinements to the alignment’s position relative to the </w:t>
      </w:r>
      <w:r w:rsidR="006A2B21">
        <w:t>Outer Metropolitan Ring (</w:t>
      </w:r>
      <w:r>
        <w:t>OMR</w:t>
      </w:r>
      <w:r w:rsidR="006A2B21">
        <w:t>)</w:t>
      </w:r>
      <w:r>
        <w:t xml:space="preserve"> corridor at various locations </w:t>
      </w:r>
    </w:p>
    <w:p w14:paraId="4713D347" w14:textId="77777777" w:rsidR="000D5B94" w:rsidRPr="00064C83" w:rsidRDefault="000D5B94" w:rsidP="000D5B94">
      <w:pPr>
        <w:pStyle w:val="BodyBullet1"/>
      </w:pPr>
      <w:r>
        <w:t>Amendment of the crossing location at Hume Freeway.</w:t>
      </w:r>
    </w:p>
    <w:p w14:paraId="5E9D24EE" w14:textId="77777777" w:rsidR="000D5B94" w:rsidRPr="00DB5B9C" w:rsidRDefault="000D5B94" w:rsidP="004D519B">
      <w:pPr>
        <w:pStyle w:val="BodyText"/>
      </w:pPr>
      <w:r w:rsidRPr="00F43297">
        <w:t>The route has also been further refined in response to additional field surveys (including biodiversity and cultural heritage) and design/constructability assessments undertaken between mid</w:t>
      </w:r>
      <w:r w:rsidR="0033738D">
        <w:t>-</w:t>
      </w:r>
      <w:r w:rsidRPr="00F43297">
        <w:t>2019 and early 2021 includi</w:t>
      </w:r>
      <w:r w:rsidRPr="00DB5B9C">
        <w:t>ng through the EES technical studies with adjustments in pipeline alignment for example to:</w:t>
      </w:r>
    </w:p>
    <w:p w14:paraId="4D9EAC01" w14:textId="77777777" w:rsidR="000D5B94" w:rsidRDefault="000D5B94" w:rsidP="000D5B94">
      <w:pPr>
        <w:pStyle w:val="BodyBullet1"/>
      </w:pPr>
      <w:r>
        <w:t xml:space="preserve">Avoid established </w:t>
      </w:r>
      <w:proofErr w:type="gramStart"/>
      <w:r>
        <w:t>tree-lines</w:t>
      </w:r>
      <w:proofErr w:type="gramEnd"/>
      <w:r>
        <w:t xml:space="preserve"> along some property boundaries </w:t>
      </w:r>
    </w:p>
    <w:p w14:paraId="5B3991A1" w14:textId="77777777" w:rsidR="000D5B94" w:rsidRDefault="000D5B94" w:rsidP="000D5B94">
      <w:pPr>
        <w:pStyle w:val="BodyBullet1"/>
      </w:pPr>
      <w:r>
        <w:t>Reduce the construction footprint in identified locations including creek crossings</w:t>
      </w:r>
    </w:p>
    <w:p w14:paraId="4A94C393" w14:textId="77777777" w:rsidR="000D5B94" w:rsidRDefault="000D5B94" w:rsidP="000D5B94">
      <w:pPr>
        <w:pStyle w:val="BodyBullet1"/>
      </w:pPr>
      <w:r>
        <w:t>Avoid wetlands</w:t>
      </w:r>
    </w:p>
    <w:p w14:paraId="481FC26E" w14:textId="77777777" w:rsidR="000D5B94" w:rsidRPr="00DB5B9C" w:rsidRDefault="000D5B94" w:rsidP="000D5B94">
      <w:pPr>
        <w:pStyle w:val="BodyBullet1"/>
      </w:pPr>
      <w:r>
        <w:t xml:space="preserve">Avoid or minimise </w:t>
      </w:r>
      <w:r w:rsidRPr="00DB5B9C">
        <w:t xml:space="preserve">impact on vegetation or habitat of value including at </w:t>
      </w:r>
      <w:proofErr w:type="spellStart"/>
      <w:r w:rsidRPr="00DB5B9C">
        <w:t>KP</w:t>
      </w:r>
      <w:proofErr w:type="spellEnd"/>
      <w:r w:rsidRPr="00DB5B9C">
        <w:t xml:space="preserve"> 11, </w:t>
      </w:r>
      <w:proofErr w:type="spellStart"/>
      <w:r w:rsidRPr="00DB5B9C">
        <w:t>KP</w:t>
      </w:r>
      <w:proofErr w:type="spellEnd"/>
      <w:r w:rsidRPr="00DB5B9C">
        <w:t xml:space="preserve"> 23, </w:t>
      </w:r>
      <w:proofErr w:type="spellStart"/>
      <w:r w:rsidRPr="00DB5B9C">
        <w:t>KP</w:t>
      </w:r>
      <w:proofErr w:type="spellEnd"/>
      <w:r w:rsidRPr="00DB5B9C">
        <w:t xml:space="preserve"> 43, and</w:t>
      </w:r>
      <w:r w:rsidR="0033738D">
        <w:t> </w:t>
      </w:r>
      <w:proofErr w:type="spellStart"/>
      <w:r w:rsidRPr="00DB5B9C">
        <w:t>KP</w:t>
      </w:r>
      <w:proofErr w:type="spellEnd"/>
      <w:r w:rsidRPr="00DB5B9C">
        <w:t xml:space="preserve"> 51.</w:t>
      </w:r>
    </w:p>
    <w:p w14:paraId="0572E29C" w14:textId="77777777" w:rsidR="004761DC" w:rsidRDefault="00F43297" w:rsidP="00CF7853">
      <w:pPr>
        <w:pStyle w:val="BodyText"/>
      </w:pPr>
      <w:r>
        <w:t xml:space="preserve">The </w:t>
      </w:r>
      <w:r w:rsidR="009C0A9F">
        <w:t>consideration</w:t>
      </w:r>
      <w:r>
        <w:t xml:space="preserve"> of options for aspects of construction methodology</w:t>
      </w:r>
      <w:r w:rsidR="00B175C4">
        <w:t xml:space="preserve"> has progressed</w:t>
      </w:r>
      <w:r w:rsidR="00CF7853">
        <w:t xml:space="preserve"> as design has developed and </w:t>
      </w:r>
      <w:r w:rsidR="00B175C4">
        <w:t xml:space="preserve">through the EES </w:t>
      </w:r>
      <w:r w:rsidR="00CF7853">
        <w:t>studies</w:t>
      </w:r>
      <w:r w:rsidR="00B175C4">
        <w:t xml:space="preserve">. A key consideration in construction methodology is the </w:t>
      </w:r>
      <w:r>
        <w:t>trenched and trenchless construction technique</w:t>
      </w:r>
      <w:r w:rsidR="002D552B">
        <w:t xml:space="preserve"> alternative</w:t>
      </w:r>
      <w:r>
        <w:t>s</w:t>
      </w:r>
      <w:r w:rsidR="002D552B">
        <w:t xml:space="preserve"> at </w:t>
      </w:r>
      <w:r w:rsidR="007A7DD0">
        <w:t xml:space="preserve">watercourses, </w:t>
      </w:r>
      <w:proofErr w:type="gramStart"/>
      <w:r w:rsidR="007A7DD0">
        <w:t>roads</w:t>
      </w:r>
      <w:proofErr w:type="gramEnd"/>
      <w:r w:rsidR="007A7DD0">
        <w:t xml:space="preserve"> and other </w:t>
      </w:r>
      <w:r w:rsidR="002D552B">
        <w:t xml:space="preserve">crossings. </w:t>
      </w:r>
      <w:proofErr w:type="gramStart"/>
      <w:r w:rsidR="007A7DD0">
        <w:t>Particular consideration</w:t>
      </w:r>
      <w:proofErr w:type="gramEnd"/>
      <w:r w:rsidR="007A7DD0">
        <w:t xml:space="preserve"> was given to trenchless construction options at the crossings for the three main waterways, Deep Creek, Jacksons Creek and Merri Creek. </w:t>
      </w:r>
      <w:r w:rsidR="00CF7853">
        <w:t>Key factors are</w:t>
      </w:r>
      <w:r w:rsidR="004761DC">
        <w:t>:</w:t>
      </w:r>
    </w:p>
    <w:p w14:paraId="236C3CB0" w14:textId="1CB4A5C3" w:rsidR="004761DC" w:rsidRPr="00A572C3" w:rsidRDefault="004761DC" w:rsidP="00832946">
      <w:pPr>
        <w:pStyle w:val="BodyBullet1"/>
      </w:pPr>
      <w:r w:rsidRPr="00A572C3">
        <w:t>Geology</w:t>
      </w:r>
      <w:r w:rsidR="006359DD">
        <w:t xml:space="preserve"> </w:t>
      </w:r>
      <w:r w:rsidR="004D519B">
        <w:rPr>
          <w:rStyle w:val="Bold"/>
          <w:b w:val="0"/>
        </w:rPr>
        <w:t>–</w:t>
      </w:r>
      <w:r w:rsidR="006359DD">
        <w:t xml:space="preserve"> the type of geology at a crossing location determines the risk of pipeline construction methodologies, for example layers of gravel present a risk for boring whereas siltstone is a good medium for boring</w:t>
      </w:r>
    </w:p>
    <w:p w14:paraId="0A60E064" w14:textId="5C62A328" w:rsidR="004761DC" w:rsidRPr="006359DD" w:rsidRDefault="004761DC" w:rsidP="00C81E40">
      <w:pPr>
        <w:pStyle w:val="BodyBullet1"/>
        <w:ind w:right="-113"/>
      </w:pPr>
      <w:r w:rsidRPr="006359DD">
        <w:rPr>
          <w:rStyle w:val="Bold"/>
          <w:b w:val="0"/>
        </w:rPr>
        <w:t>Length of pipeline crossing</w:t>
      </w:r>
      <w:r w:rsidR="006359DD">
        <w:rPr>
          <w:rStyle w:val="Bold"/>
        </w:rPr>
        <w:t xml:space="preserve">, </w:t>
      </w:r>
      <w:r w:rsidR="006359DD" w:rsidRPr="00832946">
        <w:rPr>
          <w:rStyle w:val="Bold"/>
          <w:b w:val="0"/>
        </w:rPr>
        <w:t>pipe stringing and exit angl</w:t>
      </w:r>
      <w:r w:rsidR="006359DD" w:rsidRPr="004304E3">
        <w:rPr>
          <w:rStyle w:val="Bold"/>
          <w:b w:val="0"/>
        </w:rPr>
        <w:t>e</w:t>
      </w:r>
      <w:r w:rsidRPr="00832946">
        <w:t xml:space="preserve"> </w:t>
      </w:r>
      <w:r w:rsidR="004D519B">
        <w:rPr>
          <w:rStyle w:val="Bold"/>
          <w:b w:val="0"/>
        </w:rPr>
        <w:t>–</w:t>
      </w:r>
      <w:r w:rsidR="006359DD" w:rsidRPr="00832946">
        <w:t xml:space="preserve"> t</w:t>
      </w:r>
      <w:r w:rsidR="006359DD" w:rsidRPr="004304E3">
        <w:t>he</w:t>
      </w:r>
      <w:r w:rsidR="002C7A39">
        <w:t xml:space="preserve"> horizontal directional drilling</w:t>
      </w:r>
      <w:r w:rsidR="006359DD" w:rsidRPr="006359DD">
        <w:t xml:space="preserve"> </w:t>
      </w:r>
      <w:r w:rsidR="002C7A39">
        <w:t>(</w:t>
      </w:r>
      <w:r w:rsidR="006359DD" w:rsidRPr="006359DD">
        <w:t>HDD</w:t>
      </w:r>
      <w:r w:rsidR="002C7A39">
        <w:t>)</w:t>
      </w:r>
      <w:r w:rsidR="006359DD" w:rsidRPr="006359DD">
        <w:t xml:space="preserve"> length </w:t>
      </w:r>
      <w:r w:rsidR="00832946">
        <w:t>is influenced by the depth for the pipe to go under a creek</w:t>
      </w:r>
      <w:r w:rsidR="004304E3">
        <w:t>. T</w:t>
      </w:r>
      <w:r w:rsidR="00832946">
        <w:t>his depth/length then influences the</w:t>
      </w:r>
      <w:r w:rsidR="006359DD" w:rsidRPr="006359DD">
        <w:t xml:space="preserve"> </w:t>
      </w:r>
      <w:r w:rsidR="00832946">
        <w:t xml:space="preserve">entry and </w:t>
      </w:r>
      <w:r w:rsidR="006359DD" w:rsidRPr="006359DD">
        <w:t xml:space="preserve">exit angles </w:t>
      </w:r>
      <w:r w:rsidR="004304E3">
        <w:t xml:space="preserve">which is important </w:t>
      </w:r>
      <w:r w:rsidR="006359DD" w:rsidRPr="006359DD">
        <w:t>to reduce pipe bend</w:t>
      </w:r>
      <w:r w:rsidR="004304E3">
        <w:t xml:space="preserve"> and </w:t>
      </w:r>
      <w:r w:rsidR="00DB5B9C">
        <w:t>avoid pipe damage</w:t>
      </w:r>
    </w:p>
    <w:p w14:paraId="418D1580" w14:textId="09D4911B" w:rsidR="004761DC" w:rsidRPr="004304E3" w:rsidRDefault="004761DC" w:rsidP="004304E3">
      <w:pPr>
        <w:pStyle w:val="BodyBullet1"/>
      </w:pPr>
      <w:proofErr w:type="spellStart"/>
      <w:r w:rsidRPr="00832946">
        <w:rPr>
          <w:rStyle w:val="Bold"/>
          <w:b w:val="0"/>
        </w:rPr>
        <w:t>Hydrofracture</w:t>
      </w:r>
      <w:proofErr w:type="spellEnd"/>
      <w:r w:rsidRPr="00832946">
        <w:rPr>
          <w:rStyle w:val="Bold"/>
          <w:b w:val="0"/>
        </w:rPr>
        <w:t xml:space="preserve"> risk </w:t>
      </w:r>
      <w:r w:rsidR="004D519B">
        <w:rPr>
          <w:rStyle w:val="Bold"/>
          <w:b w:val="0"/>
        </w:rPr>
        <w:t>–</w:t>
      </w:r>
      <w:r w:rsidR="004304E3" w:rsidRPr="004304E3">
        <w:rPr>
          <w:rStyle w:val="Bold"/>
          <w:b w:val="0"/>
        </w:rPr>
        <w:t xml:space="preserve"> fluid used for drilling may escape where the rock is at risk of fracturing. Borehole stability is also influenced if there is a risk of fracture</w:t>
      </w:r>
    </w:p>
    <w:p w14:paraId="5C7E99AD" w14:textId="34E27948" w:rsidR="004761DC" w:rsidRPr="006359DD" w:rsidRDefault="006359DD" w:rsidP="00832946">
      <w:pPr>
        <w:pStyle w:val="BodyBullet1"/>
      </w:pPr>
      <w:r>
        <w:t>C</w:t>
      </w:r>
      <w:r w:rsidR="004761DC" w:rsidRPr="006359DD">
        <w:t xml:space="preserve">onstruction arrangement </w:t>
      </w:r>
      <w:r>
        <w:t xml:space="preserve">and access </w:t>
      </w:r>
      <w:r w:rsidR="004D519B">
        <w:rPr>
          <w:rStyle w:val="Bold"/>
          <w:b w:val="0"/>
        </w:rPr>
        <w:t>–</w:t>
      </w:r>
      <w:r>
        <w:t xml:space="preserve"> as the pipe is stringed together before installing, a longer pipe requires larger construction area. </w:t>
      </w:r>
      <w:r w:rsidR="00832946">
        <w:t xml:space="preserve">HDD requires a larger construction area at the pit locations for rig set up, pipe laydown and access. </w:t>
      </w:r>
      <w:r>
        <w:t xml:space="preserve">To avoid access </w:t>
      </w:r>
      <w:r w:rsidR="00832946">
        <w:t xml:space="preserve">across a creek, </w:t>
      </w:r>
      <w:r w:rsidR="004304E3">
        <w:t xml:space="preserve">appropriate </w:t>
      </w:r>
      <w:r w:rsidR="00832946">
        <w:t xml:space="preserve">access from the </w:t>
      </w:r>
      <w:r w:rsidR="004304E3">
        <w:t xml:space="preserve">pit locations to a road is </w:t>
      </w:r>
      <w:r w:rsidR="00DB5B9C">
        <w:t xml:space="preserve">preferred </w:t>
      </w:r>
    </w:p>
    <w:p w14:paraId="7FDA7B4E" w14:textId="7EEC7FD2" w:rsidR="004761DC" w:rsidRPr="00A572C3" w:rsidRDefault="004761DC" w:rsidP="00832946">
      <w:pPr>
        <w:pStyle w:val="BodyBullet1"/>
      </w:pPr>
      <w:r w:rsidRPr="00832946">
        <w:t>Environmental conditions</w:t>
      </w:r>
      <w:r w:rsidR="00DB5B9C">
        <w:t xml:space="preserve"> </w:t>
      </w:r>
      <w:r w:rsidR="004D519B">
        <w:rPr>
          <w:rStyle w:val="Bold"/>
          <w:b w:val="0"/>
        </w:rPr>
        <w:t>–</w:t>
      </w:r>
      <w:r w:rsidR="00DB5B9C">
        <w:t xml:space="preserve"> </w:t>
      </w:r>
      <w:r w:rsidR="00DB5B9C" w:rsidRPr="0050608F">
        <w:t xml:space="preserve">terrestrial and aquatic habitat, flow conditions, slope and geomorphology of the riverbed and riverbanks, can influence the </w:t>
      </w:r>
      <w:r w:rsidR="00DB5B9C">
        <w:t xml:space="preserve">ability to minimise impacts with different </w:t>
      </w:r>
      <w:r w:rsidR="00DB5B9C" w:rsidRPr="0050608F">
        <w:t>type</w:t>
      </w:r>
      <w:r w:rsidR="00DB5B9C">
        <w:t>s</w:t>
      </w:r>
      <w:r w:rsidR="00DB5B9C" w:rsidRPr="0050608F">
        <w:t xml:space="preserve"> of construction technique</w:t>
      </w:r>
      <w:r w:rsidR="00DB5B9C">
        <w:t xml:space="preserve">. </w:t>
      </w:r>
    </w:p>
    <w:p w14:paraId="7BB94A08" w14:textId="7A70B35F" w:rsidR="00500229" w:rsidRDefault="004761DC" w:rsidP="00CF7853">
      <w:pPr>
        <w:pStyle w:val="BodyText"/>
      </w:pPr>
      <w:r>
        <w:t>A summary of the crossing considerations at Jacksons, Deep and Merri Creeks is</w:t>
      </w:r>
      <w:r w:rsidR="00CF7853">
        <w:t xml:space="preserve"> outlined in </w:t>
      </w:r>
      <w:r w:rsidR="00CF7853">
        <w:fldChar w:fldCharType="begin"/>
      </w:r>
      <w:r w:rsidR="00CF7853">
        <w:instrText xml:space="preserve"> REF _Ref71134219 \h </w:instrText>
      </w:r>
      <w:r w:rsidR="00CF7853">
        <w:fldChar w:fldCharType="separate"/>
      </w:r>
      <w:r w:rsidR="00E94BD2">
        <w:t>Table </w:t>
      </w:r>
      <w:r w:rsidR="00E94BD2">
        <w:rPr>
          <w:noProof/>
        </w:rPr>
        <w:t>2</w:t>
      </w:r>
      <w:r w:rsidR="00CF7853">
        <w:fldChar w:fldCharType="end"/>
      </w:r>
      <w:r w:rsidR="00CF7853">
        <w:t xml:space="preserve">. </w:t>
      </w:r>
    </w:p>
    <w:p w14:paraId="0E5A07ED" w14:textId="58767F06" w:rsidR="00CF7853" w:rsidRDefault="00CF7853" w:rsidP="00CF7853">
      <w:pPr>
        <w:pStyle w:val="Caption"/>
      </w:pPr>
      <w:bookmarkStart w:id="22" w:name="_Ref71134219"/>
      <w:r>
        <w:lastRenderedPageBreak/>
        <w:t>Table</w:t>
      </w:r>
      <w:r w:rsidR="00CE5CD3">
        <w:t> </w:t>
      </w:r>
      <w:r w:rsidR="00113B39">
        <w:fldChar w:fldCharType="begin"/>
      </w:r>
      <w:r w:rsidR="00113B39">
        <w:instrText xml:space="preserve"> SEQ Table \* ARABIC </w:instrText>
      </w:r>
      <w:r w:rsidR="00113B39">
        <w:fldChar w:fldCharType="separate"/>
      </w:r>
      <w:r w:rsidR="00E94BD2">
        <w:rPr>
          <w:noProof/>
        </w:rPr>
        <w:t>2</w:t>
      </w:r>
      <w:r w:rsidR="00113B39">
        <w:rPr>
          <w:noProof/>
        </w:rPr>
        <w:fldChar w:fldCharType="end"/>
      </w:r>
      <w:bookmarkEnd w:id="22"/>
      <w:r w:rsidR="0033738D">
        <w:tab/>
      </w:r>
      <w:r w:rsidR="004761DC">
        <w:t>Summary of crossing considerations</w:t>
      </w:r>
    </w:p>
    <w:tbl>
      <w:tblPr>
        <w:tblStyle w:val="MainTableStyle"/>
        <w:tblW w:w="0" w:type="auto"/>
        <w:tblLayout w:type="fixed"/>
        <w:tblLook w:val="04A0" w:firstRow="1" w:lastRow="0" w:firstColumn="1" w:lastColumn="0" w:noHBand="0" w:noVBand="1"/>
      </w:tblPr>
      <w:tblGrid>
        <w:gridCol w:w="998"/>
        <w:gridCol w:w="2682"/>
        <w:gridCol w:w="2836"/>
        <w:gridCol w:w="2544"/>
      </w:tblGrid>
      <w:tr w:rsidR="00C81E40" w14:paraId="039CE7C4" w14:textId="77777777" w:rsidTr="00416B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8" w:type="dxa"/>
            <w:hideMark/>
          </w:tcPr>
          <w:p w14:paraId="2EEEBBAE" w14:textId="77777777" w:rsidR="00C81E40" w:rsidRPr="004761DC" w:rsidRDefault="00C81E40" w:rsidP="00416B51">
            <w:pPr>
              <w:pStyle w:val="TableText"/>
            </w:pPr>
            <w:r w:rsidRPr="009B2FC0">
              <w:t>Location</w:t>
            </w:r>
          </w:p>
        </w:tc>
        <w:tc>
          <w:tcPr>
            <w:tcW w:w="2682" w:type="dxa"/>
            <w:hideMark/>
          </w:tcPr>
          <w:p w14:paraId="17A2DEFA" w14:textId="77777777" w:rsidR="00C81E40" w:rsidRPr="004761DC" w:rsidRDefault="00C81E40" w:rsidP="00416B51">
            <w:pPr>
              <w:pStyle w:val="TableText"/>
              <w:cnfStyle w:val="100000000000" w:firstRow="1" w:lastRow="0" w:firstColumn="0" w:lastColumn="0" w:oddVBand="0" w:evenVBand="0" w:oddHBand="0" w:evenHBand="0" w:firstRowFirstColumn="0" w:firstRowLastColumn="0" w:lastRowFirstColumn="0" w:lastRowLastColumn="0"/>
            </w:pPr>
            <w:r w:rsidRPr="009B2FC0">
              <w:t>HDD</w:t>
            </w:r>
          </w:p>
        </w:tc>
        <w:tc>
          <w:tcPr>
            <w:tcW w:w="2836" w:type="dxa"/>
            <w:hideMark/>
          </w:tcPr>
          <w:p w14:paraId="5E50CB59" w14:textId="77777777" w:rsidR="00C81E40" w:rsidRPr="004761DC" w:rsidRDefault="00C81E40" w:rsidP="00416B51">
            <w:pPr>
              <w:pStyle w:val="TableText"/>
              <w:cnfStyle w:val="100000000000" w:firstRow="1" w:lastRow="0" w:firstColumn="0" w:lastColumn="0" w:oddVBand="0" w:evenVBand="0" w:oddHBand="0" w:evenHBand="0" w:firstRowFirstColumn="0" w:firstRowLastColumn="0" w:lastRowFirstColumn="0" w:lastRowLastColumn="0"/>
            </w:pPr>
            <w:r w:rsidRPr="009B2FC0">
              <w:t>Open trench</w:t>
            </w:r>
          </w:p>
        </w:tc>
        <w:tc>
          <w:tcPr>
            <w:tcW w:w="2544" w:type="dxa"/>
            <w:hideMark/>
          </w:tcPr>
          <w:p w14:paraId="5C960DD1" w14:textId="77777777" w:rsidR="00C81E40" w:rsidRPr="004761DC" w:rsidRDefault="00C81E40" w:rsidP="00416B51">
            <w:pPr>
              <w:pStyle w:val="TableText"/>
              <w:cnfStyle w:val="100000000000" w:firstRow="1" w:lastRow="0" w:firstColumn="0" w:lastColumn="0" w:oddVBand="0" w:evenVBand="0" w:oddHBand="0" w:evenHBand="0" w:firstRowFirstColumn="0" w:firstRowLastColumn="0" w:lastRowFirstColumn="0" w:lastRowLastColumn="0"/>
            </w:pPr>
            <w:r w:rsidRPr="009B2FC0">
              <w:t>Selected methodology</w:t>
            </w:r>
          </w:p>
        </w:tc>
      </w:tr>
      <w:tr w:rsidR="00C81E40" w14:paraId="2766CB7A" w14:textId="77777777" w:rsidTr="00416B51">
        <w:trPr>
          <w:cantSplit/>
        </w:trPr>
        <w:tc>
          <w:tcPr>
            <w:cnfStyle w:val="001000000000" w:firstRow="0" w:lastRow="0" w:firstColumn="1" w:lastColumn="0" w:oddVBand="0" w:evenVBand="0" w:oddHBand="0" w:evenHBand="0" w:firstRowFirstColumn="0" w:firstRowLastColumn="0" w:lastRowFirstColumn="0" w:lastRowLastColumn="0"/>
            <w:tcW w:w="998" w:type="dxa"/>
            <w:hideMark/>
          </w:tcPr>
          <w:p w14:paraId="3573FFB4" w14:textId="77777777" w:rsidR="00C81E40" w:rsidRPr="004761DC" w:rsidRDefault="00C81E40" w:rsidP="00416B51">
            <w:pPr>
              <w:pStyle w:val="TableText"/>
            </w:pPr>
            <w:r w:rsidRPr="009B2FC0">
              <w:t>Jacksons Creek</w:t>
            </w:r>
          </w:p>
        </w:tc>
        <w:tc>
          <w:tcPr>
            <w:tcW w:w="2682" w:type="dxa"/>
            <w:hideMark/>
          </w:tcPr>
          <w:p w14:paraId="3E256A64"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 xml:space="preserve">Potential for high risk of </w:t>
            </w:r>
            <w:proofErr w:type="spellStart"/>
            <w:r w:rsidRPr="00164DF6">
              <w:t>h</w:t>
            </w:r>
            <w:r w:rsidRPr="004761DC">
              <w:t>ydrofracture</w:t>
            </w:r>
            <w:proofErr w:type="spellEnd"/>
            <w:r w:rsidRPr="004761DC">
              <w:t xml:space="preserve"> due to the geology not being conducive to maintaining borehole stability</w:t>
            </w:r>
            <w:r>
              <w:t>.</w:t>
            </w:r>
          </w:p>
          <w:p w14:paraId="3C6F5B8A"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Overbend of pipe at exit</w:t>
            </w:r>
            <w:r>
              <w:t>.</w:t>
            </w:r>
          </w:p>
          <w:p w14:paraId="1717957A"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9B2FC0">
              <w:t xml:space="preserve">Requires additional construction footprint for pipe stringing in </w:t>
            </w:r>
            <w:r w:rsidRPr="004761DC">
              <w:t>private property currently used as a wheat cultivation paddock</w:t>
            </w:r>
            <w:r>
              <w:t>.</w:t>
            </w:r>
          </w:p>
        </w:tc>
        <w:tc>
          <w:tcPr>
            <w:tcW w:w="2836" w:type="dxa"/>
            <w:hideMark/>
          </w:tcPr>
          <w:p w14:paraId="7ECE22B6"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9B2FC0">
              <w:t xml:space="preserve">Relatively </w:t>
            </w:r>
            <w:r w:rsidRPr="004761DC">
              <w:t>high potential for stream bed and bank erosion based on modelled flows of greater than 1.5 m/s</w:t>
            </w:r>
            <w:r>
              <w:t>.</w:t>
            </w:r>
          </w:p>
          <w:p w14:paraId="4516A591" w14:textId="3D3DA781"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 xml:space="preserve">Some riparian woodland and large trees present </w:t>
            </w:r>
            <w:r>
              <w:t xml:space="preserve">in the area </w:t>
            </w:r>
            <w:r w:rsidRPr="00164DF6">
              <w:t>that could provide fauna habitat, however the crossing falls in the most degr</w:t>
            </w:r>
            <w:r w:rsidRPr="004761DC">
              <w:t>aded part of the creek and the quality of habitat in the waterway is poor</w:t>
            </w:r>
            <w:r>
              <w:t>.</w:t>
            </w:r>
          </w:p>
        </w:tc>
        <w:tc>
          <w:tcPr>
            <w:tcW w:w="2544" w:type="dxa"/>
            <w:hideMark/>
          </w:tcPr>
          <w:p w14:paraId="10DA727C"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9B2FC0">
              <w:t xml:space="preserve">Open trench – </w:t>
            </w:r>
            <w:r w:rsidRPr="004761DC">
              <w:t>has been selected due to major risks associated with HDD. Specific environmental mitigation measures and rehabilitation proposed for the Project will manage risks associated with erosion for works in waterways.</w:t>
            </w:r>
          </w:p>
        </w:tc>
      </w:tr>
      <w:tr w:rsidR="00C81E40" w14:paraId="57AF0560" w14:textId="77777777" w:rsidTr="00416B51">
        <w:trPr>
          <w:cantSplit/>
        </w:trPr>
        <w:tc>
          <w:tcPr>
            <w:cnfStyle w:val="001000000000" w:firstRow="0" w:lastRow="0" w:firstColumn="1" w:lastColumn="0" w:oddVBand="0" w:evenVBand="0" w:oddHBand="0" w:evenHBand="0" w:firstRowFirstColumn="0" w:firstRowLastColumn="0" w:lastRowFirstColumn="0" w:lastRowLastColumn="0"/>
            <w:tcW w:w="998" w:type="dxa"/>
            <w:hideMark/>
          </w:tcPr>
          <w:p w14:paraId="2D98C54A" w14:textId="77777777" w:rsidR="00C81E40" w:rsidRPr="004761DC" w:rsidRDefault="00C81E40" w:rsidP="00416B51">
            <w:pPr>
              <w:pStyle w:val="TableText"/>
            </w:pPr>
            <w:r w:rsidRPr="009B2FC0">
              <w:t>Deep Creek</w:t>
            </w:r>
          </w:p>
        </w:tc>
        <w:tc>
          <w:tcPr>
            <w:tcW w:w="2682" w:type="dxa"/>
          </w:tcPr>
          <w:p w14:paraId="58D563AD"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 xml:space="preserve">Low risk of </w:t>
            </w:r>
            <w:proofErr w:type="spellStart"/>
            <w:r w:rsidRPr="00164DF6">
              <w:t>h</w:t>
            </w:r>
            <w:r w:rsidRPr="004761DC">
              <w:t>ydrofracture</w:t>
            </w:r>
            <w:proofErr w:type="spellEnd"/>
            <w:r w:rsidRPr="004761DC">
              <w:t xml:space="preserve"> due to the geology providing a good medium for drilling, with some potential stability issues</w:t>
            </w:r>
            <w:r>
              <w:t>.</w:t>
            </w:r>
          </w:p>
          <w:p w14:paraId="0D5DBBBE"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No overbend required</w:t>
            </w:r>
            <w:r>
              <w:t>.</w:t>
            </w:r>
          </w:p>
          <w:p w14:paraId="5FF81DF8"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No additional construction footprint required for stringin</w:t>
            </w:r>
            <w:r w:rsidRPr="004761DC">
              <w:t>g of the pipeline</w:t>
            </w:r>
            <w:r>
              <w:t>.</w:t>
            </w:r>
          </w:p>
        </w:tc>
        <w:tc>
          <w:tcPr>
            <w:tcW w:w="2836" w:type="dxa"/>
            <w:hideMark/>
          </w:tcPr>
          <w:p w14:paraId="4CA2AAE7"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9B2FC0">
              <w:t>Relatively high potential for stream bed and bank erosion due to modelled flows of greater than 1.5 m/s</w:t>
            </w:r>
            <w:r>
              <w:t>.</w:t>
            </w:r>
          </w:p>
          <w:p w14:paraId="17834AC5"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 xml:space="preserve">Some riparian woodland and large trees present that could provide fauna habitat. </w:t>
            </w:r>
            <w:r w:rsidRPr="004761DC">
              <w:rPr>
                <w:rStyle w:val="Removedirectformatting"/>
              </w:rPr>
              <w:t>Growling Grass Frogs have been recorded within Deep Creek</w:t>
            </w:r>
            <w:r>
              <w:rPr>
                <w:rStyle w:val="Removedirectformatting"/>
              </w:rPr>
              <w:t>.</w:t>
            </w:r>
          </w:p>
        </w:tc>
        <w:tc>
          <w:tcPr>
            <w:tcW w:w="2544" w:type="dxa"/>
            <w:hideMark/>
          </w:tcPr>
          <w:p w14:paraId="22D81BCB"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9B2FC0">
              <w:t xml:space="preserve">HDD – geology at this location would enable drilling to avoid the relatively fast-flowing waterway </w:t>
            </w:r>
            <w:r w:rsidRPr="004761DC">
              <w:t>and minimise environmental impacts directly in watercourse</w:t>
            </w:r>
            <w:r>
              <w:t>.</w:t>
            </w:r>
          </w:p>
        </w:tc>
      </w:tr>
      <w:tr w:rsidR="00C81E40" w14:paraId="32A4CDDF" w14:textId="77777777" w:rsidTr="00416B51">
        <w:trPr>
          <w:cantSplit/>
        </w:trPr>
        <w:tc>
          <w:tcPr>
            <w:cnfStyle w:val="001000000000" w:firstRow="0" w:lastRow="0" w:firstColumn="1" w:lastColumn="0" w:oddVBand="0" w:evenVBand="0" w:oddHBand="0" w:evenHBand="0" w:firstRowFirstColumn="0" w:firstRowLastColumn="0" w:lastRowFirstColumn="0" w:lastRowLastColumn="0"/>
            <w:tcW w:w="998" w:type="dxa"/>
            <w:hideMark/>
          </w:tcPr>
          <w:p w14:paraId="706E0A6A" w14:textId="77777777" w:rsidR="00C81E40" w:rsidRPr="004761DC" w:rsidRDefault="00C81E40" w:rsidP="00416B51">
            <w:pPr>
              <w:pStyle w:val="TableText"/>
            </w:pPr>
            <w:r w:rsidRPr="009B2FC0">
              <w:t>Merri Creek</w:t>
            </w:r>
          </w:p>
        </w:tc>
        <w:tc>
          <w:tcPr>
            <w:tcW w:w="2682" w:type="dxa"/>
            <w:hideMark/>
          </w:tcPr>
          <w:p w14:paraId="48927CD8"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 xml:space="preserve">Moderate </w:t>
            </w:r>
            <w:proofErr w:type="spellStart"/>
            <w:r w:rsidRPr="00164DF6">
              <w:t>hydrofracture</w:t>
            </w:r>
            <w:proofErr w:type="spellEnd"/>
            <w:r w:rsidRPr="00164DF6">
              <w:t xml:space="preserve"> risk due to geology</w:t>
            </w:r>
            <w:r>
              <w:t>.</w:t>
            </w:r>
          </w:p>
          <w:p w14:paraId="36CC3985"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9B2FC0">
              <w:t>Overbend not expected</w:t>
            </w:r>
            <w:r>
              <w:t>.</w:t>
            </w:r>
          </w:p>
          <w:p w14:paraId="53C76EFE"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 xml:space="preserve">Requires a new </w:t>
            </w:r>
            <w:r w:rsidRPr="004761DC">
              <w:t>temporary access track (3.4 km x 5</w:t>
            </w:r>
            <w:r>
              <w:t>–</w:t>
            </w:r>
            <w:r w:rsidRPr="004761DC">
              <w:t>10 m wide) from Beveridge Road to facilitate construction of HDD works and pipeline construction between the railway line and Merri Creek (</w:t>
            </w:r>
            <w:proofErr w:type="spellStart"/>
            <w:r w:rsidRPr="004761DC">
              <w:t>KP</w:t>
            </w:r>
            <w:proofErr w:type="spellEnd"/>
            <w:r w:rsidRPr="004761DC">
              <w:t xml:space="preserve"> 41</w:t>
            </w:r>
            <w:r>
              <w:t>–</w:t>
            </w:r>
            <w:r w:rsidRPr="004761DC">
              <w:t>43) or as an alternative a temporary access track would need to be constructed across Merri Creek for the duration of construction works</w:t>
            </w:r>
            <w:r>
              <w:t>.</w:t>
            </w:r>
          </w:p>
        </w:tc>
        <w:tc>
          <w:tcPr>
            <w:tcW w:w="2836" w:type="dxa"/>
            <w:hideMark/>
          </w:tcPr>
          <w:p w14:paraId="24F9F1A6"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9B2FC0">
              <w:t>Low potential for erosion due to presence of basalt at relatively shallow depths and modelled flows of less than 1.5 m/s</w:t>
            </w:r>
            <w:r>
              <w:t>.</w:t>
            </w:r>
          </w:p>
          <w:p w14:paraId="23B82BF2"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Some riparian woodland and trees present in the vicin</w:t>
            </w:r>
            <w:r w:rsidRPr="004761DC">
              <w:t>ity that could provide fauna habitat, however the habitat in the immediate vicinity is of poor quality</w:t>
            </w:r>
            <w:r>
              <w:t>.</w:t>
            </w:r>
          </w:p>
          <w:p w14:paraId="6B7AB70E"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 xml:space="preserve">Works within the watercourse will be undertaken within the existing APA easement </w:t>
            </w:r>
            <w:r w:rsidRPr="004761DC">
              <w:t xml:space="preserve">for the </w:t>
            </w:r>
            <w:proofErr w:type="spellStart"/>
            <w:r w:rsidRPr="004761DC">
              <w:t>VNIE</w:t>
            </w:r>
            <w:proofErr w:type="spellEnd"/>
            <w:r w:rsidRPr="004761DC">
              <w:t xml:space="preserve"> pipeline. The </w:t>
            </w:r>
            <w:proofErr w:type="spellStart"/>
            <w:r w:rsidRPr="004761DC">
              <w:t>VNIE</w:t>
            </w:r>
            <w:proofErr w:type="spellEnd"/>
            <w:r w:rsidRPr="004761DC">
              <w:t xml:space="preserve"> pipeline has been previously open cut in this area and reinstated</w:t>
            </w:r>
            <w:r>
              <w:t>.</w:t>
            </w:r>
          </w:p>
        </w:tc>
        <w:tc>
          <w:tcPr>
            <w:tcW w:w="2544" w:type="dxa"/>
            <w:hideMark/>
          </w:tcPr>
          <w:p w14:paraId="5DCD939D" w14:textId="77777777" w:rsidR="00C81E40" w:rsidRPr="004761DC" w:rsidRDefault="00C81E40" w:rsidP="00416B51">
            <w:pPr>
              <w:pStyle w:val="TableText"/>
              <w:cnfStyle w:val="000000000000" w:firstRow="0" w:lastRow="0" w:firstColumn="0" w:lastColumn="0" w:oddVBand="0" w:evenVBand="0" w:oddHBand="0" w:evenHBand="0" w:firstRowFirstColumn="0" w:firstRowLastColumn="0" w:lastRowFirstColumn="0" w:lastRowLastColumn="0"/>
            </w:pPr>
            <w:r w:rsidRPr="00164DF6">
              <w:t>Open trench – has been selected to minimise impacts associated with additional access requirements. Temporary access across Merri Cree</w:t>
            </w:r>
            <w:r w:rsidRPr="004761DC">
              <w:t>k is required to facilitate construction works between the rail crossing and Merri Creek (</w:t>
            </w:r>
            <w:proofErr w:type="spellStart"/>
            <w:r w:rsidRPr="004761DC">
              <w:t>KP</w:t>
            </w:r>
            <w:proofErr w:type="spellEnd"/>
            <w:r w:rsidRPr="004761DC">
              <w:t xml:space="preserve"> 41</w:t>
            </w:r>
            <w:r>
              <w:t>–</w:t>
            </w:r>
            <w:r w:rsidRPr="004761DC">
              <w:t xml:space="preserve">43). Works will be contained within an existing APA easement directly in Merri Creek to minimise additional impacts. </w:t>
            </w:r>
            <w:r w:rsidRPr="00164DF6">
              <w:t>Specific mitigation measures and rehabilitation will manage risks associated with erosion</w:t>
            </w:r>
            <w:r>
              <w:t>.</w:t>
            </w:r>
          </w:p>
        </w:tc>
      </w:tr>
    </w:tbl>
    <w:p w14:paraId="777AA3B3" w14:textId="77777777" w:rsidR="00763CFE" w:rsidRDefault="00763CFE" w:rsidP="00763CFE">
      <w:pPr>
        <w:pStyle w:val="Source"/>
      </w:pPr>
    </w:p>
    <w:p w14:paraId="36E6F301" w14:textId="77777777" w:rsidR="009A4C12" w:rsidRDefault="009A4C12" w:rsidP="009A4C12">
      <w:pPr>
        <w:pStyle w:val="Heading4"/>
      </w:pPr>
      <w:bookmarkStart w:id="23" w:name="_Toc71731121"/>
      <w:bookmarkStart w:id="24" w:name="_Toc72510142"/>
      <w:bookmarkStart w:id="25" w:name="_Toc74108842"/>
      <w:r>
        <w:t>Construction</w:t>
      </w:r>
      <w:bookmarkEnd w:id="23"/>
      <w:bookmarkEnd w:id="24"/>
      <w:bookmarkEnd w:id="25"/>
    </w:p>
    <w:p w14:paraId="55053345" w14:textId="77777777" w:rsidR="00592A88" w:rsidRPr="007E143A" w:rsidRDefault="00592A88" w:rsidP="00592A88">
      <w:pPr>
        <w:pStyle w:val="BodyText"/>
      </w:pPr>
      <w:r w:rsidRPr="007E143A">
        <w:t>Subject to obtaining all required regulatory approvals for the Project</w:t>
      </w:r>
      <w:r>
        <w:t xml:space="preserve"> in 2021</w:t>
      </w:r>
      <w:r w:rsidRPr="007E143A">
        <w:t xml:space="preserve">, </w:t>
      </w:r>
      <w:r>
        <w:t xml:space="preserve">the </w:t>
      </w:r>
      <w:r w:rsidR="00021FC6">
        <w:t xml:space="preserve">Project </w:t>
      </w:r>
      <w:r>
        <w:t>is</w:t>
      </w:r>
      <w:r w:rsidRPr="007E143A">
        <w:t xml:space="preserve"> expected to be constructed over a period of six to nine months and be operational by late 2022.</w:t>
      </w:r>
      <w:r w:rsidRPr="00C61CCA">
        <w:t xml:space="preserve"> </w:t>
      </w:r>
      <w:r w:rsidRPr="007E143A">
        <w:t xml:space="preserve">General timeframes to complete works in any one area from site establishment to rehabilitation </w:t>
      </w:r>
      <w:r>
        <w:t>are</w:t>
      </w:r>
      <w:r w:rsidRPr="007E143A">
        <w:t xml:space="preserve"> four to six months</w:t>
      </w:r>
      <w:r>
        <w:t xml:space="preserve">. </w:t>
      </w:r>
      <w:r w:rsidRPr="007E143A">
        <w:t xml:space="preserve">It is </w:t>
      </w:r>
      <w:r>
        <w:t>likely</w:t>
      </w:r>
      <w:r w:rsidRPr="007E143A">
        <w:t xml:space="preserve"> that there would be multiple work fronts for open cut excavations</w:t>
      </w:r>
      <w:r>
        <w:t>.</w:t>
      </w:r>
      <w:r w:rsidRPr="007E143A">
        <w:t xml:space="preserve"> </w:t>
      </w:r>
    </w:p>
    <w:p w14:paraId="438CC9F7" w14:textId="77777777" w:rsidR="00592A88" w:rsidRPr="007E143A" w:rsidRDefault="00592A88" w:rsidP="00592A88">
      <w:pPr>
        <w:pStyle w:val="BodyText"/>
      </w:pPr>
      <w:r>
        <w:t>Construction work</w:t>
      </w:r>
      <w:r w:rsidRPr="007E143A">
        <w:t xml:space="preserve"> would generally </w:t>
      </w:r>
      <w:r>
        <w:t xml:space="preserve">be undertaken </w:t>
      </w:r>
      <w:r w:rsidRPr="007E143A">
        <w:t xml:space="preserve">between </w:t>
      </w:r>
      <w:r w:rsidR="00C81E40" w:rsidRPr="007E143A">
        <w:t>6</w:t>
      </w:r>
      <w:r w:rsidR="00C81E40">
        <w:t> </w:t>
      </w:r>
      <w:r w:rsidR="00C81E40" w:rsidRPr="007E143A">
        <w:t>am and 6</w:t>
      </w:r>
      <w:r w:rsidR="00C81E40">
        <w:t> </w:t>
      </w:r>
      <w:r w:rsidR="00C81E40" w:rsidRPr="007E143A">
        <w:t>pm</w:t>
      </w:r>
      <w:r w:rsidRPr="007E143A">
        <w:t xml:space="preserve">, seven days per week, with </w:t>
      </w:r>
      <w:proofErr w:type="gramStart"/>
      <w:r w:rsidRPr="007E143A">
        <w:t>24 hour</w:t>
      </w:r>
      <w:proofErr w:type="gramEnd"/>
      <w:r w:rsidRPr="007E143A">
        <w:t xml:space="preserve"> operation potentially required for short periods</w:t>
      </w:r>
      <w:r>
        <w:t xml:space="preserve"> for the type of construction under road or rail</w:t>
      </w:r>
      <w:r w:rsidRPr="007E143A">
        <w:t>.</w:t>
      </w:r>
    </w:p>
    <w:p w14:paraId="0B2CD1CA" w14:textId="77777777" w:rsidR="00592A88" w:rsidRPr="004A418E" w:rsidRDefault="00592A88" w:rsidP="00763CFE">
      <w:pPr>
        <w:pStyle w:val="BodyText"/>
        <w:keepNext/>
      </w:pPr>
      <w:r w:rsidRPr="004A418E">
        <w:lastRenderedPageBreak/>
        <w:t xml:space="preserve">The construction </w:t>
      </w:r>
      <w:r>
        <w:t>area</w:t>
      </w:r>
      <w:r w:rsidRPr="004A418E">
        <w:t xml:space="preserve"> would typically comprise a </w:t>
      </w:r>
      <w:proofErr w:type="gramStart"/>
      <w:r w:rsidRPr="004A418E">
        <w:t>30</w:t>
      </w:r>
      <w:r>
        <w:t xml:space="preserve"> </w:t>
      </w:r>
      <w:r w:rsidRPr="004A418E">
        <w:t>metre</w:t>
      </w:r>
      <w:r>
        <w:t xml:space="preserve"> </w:t>
      </w:r>
      <w:r w:rsidRPr="004A418E">
        <w:t>wide</w:t>
      </w:r>
      <w:proofErr w:type="gramEnd"/>
      <w:r>
        <w:t xml:space="preserve"> corridor along the</w:t>
      </w:r>
      <w:r w:rsidRPr="004A418E">
        <w:t xml:space="preserve"> pipeline </w:t>
      </w:r>
      <w:r>
        <w:t>alignment. The activities and facilities within the construction corridor</w:t>
      </w:r>
      <w:r w:rsidRPr="004A418E">
        <w:t xml:space="preserve"> include:</w:t>
      </w:r>
    </w:p>
    <w:p w14:paraId="5178E9AE" w14:textId="77777777" w:rsidR="00592A88" w:rsidRPr="00F11296" w:rsidRDefault="00592A88" w:rsidP="00592A88">
      <w:pPr>
        <w:pStyle w:val="BodyBullet1"/>
      </w:pPr>
      <w:r>
        <w:t>A</w:t>
      </w:r>
      <w:r w:rsidRPr="004A418E">
        <w:t xml:space="preserve">ccess tracks (upgrade of existing and construction of new), which would be less than 10 metres wide and usually constructed out </w:t>
      </w:r>
      <w:r w:rsidRPr="00F11296">
        <w:t>of gravel</w:t>
      </w:r>
    </w:p>
    <w:p w14:paraId="26A99400" w14:textId="77777777" w:rsidR="00592A88" w:rsidRPr="00F11296" w:rsidRDefault="00592A88" w:rsidP="00592A88">
      <w:pPr>
        <w:pStyle w:val="BodyBullet1"/>
      </w:pPr>
      <w:r>
        <w:t>A</w:t>
      </w:r>
      <w:r w:rsidRPr="004A418E">
        <w:t>dditional work areas</w:t>
      </w:r>
      <w:r>
        <w:t xml:space="preserve"> to accommodate</w:t>
      </w:r>
      <w:r w:rsidRPr="004A418E">
        <w:t xml:space="preserve"> vehicle turn-around points, additional </w:t>
      </w:r>
      <w:proofErr w:type="gramStart"/>
      <w:r w:rsidRPr="004A418E">
        <w:t>work spaces</w:t>
      </w:r>
      <w:proofErr w:type="gramEnd"/>
      <w:r w:rsidRPr="004A418E">
        <w:t xml:space="preserve"> for crossings, set up areas</w:t>
      </w:r>
      <w:r>
        <w:t xml:space="preserve"> to accommodate HDD</w:t>
      </w:r>
      <w:r w:rsidRPr="004A418E">
        <w:t xml:space="preserve">, laying out of pipe for HDD, </w:t>
      </w:r>
      <w:r>
        <w:t xml:space="preserve">and </w:t>
      </w:r>
      <w:r w:rsidRPr="004A418E">
        <w:t>s</w:t>
      </w:r>
      <w:r w:rsidRPr="00F11296">
        <w:t>tockpiling and storage areas</w:t>
      </w:r>
      <w:r>
        <w:t xml:space="preserve">. Temporary construction gateways would be installed at fence lines intersected by the construction area to provide security for farm stock during construction </w:t>
      </w:r>
    </w:p>
    <w:p w14:paraId="529F8B08" w14:textId="77777777" w:rsidR="00592A88" w:rsidRDefault="00592A88" w:rsidP="00592A88">
      <w:pPr>
        <w:pStyle w:val="BodyBullet1"/>
      </w:pPr>
      <w:r>
        <w:t>W</w:t>
      </w:r>
      <w:r w:rsidRPr="004A418E">
        <w:t>ater supply tanks and temporary dams for storing water required for dust suppression and hydrostatic testing (pre</w:t>
      </w:r>
      <w:r w:rsidRPr="00F11296">
        <w:t>ssure testing) of the pipeline</w:t>
      </w:r>
      <w:r>
        <w:t>.</w:t>
      </w:r>
    </w:p>
    <w:p w14:paraId="4DA5933D" w14:textId="77777777" w:rsidR="00592A88" w:rsidRPr="00592A88" w:rsidRDefault="00592A88" w:rsidP="00763CFE">
      <w:pPr>
        <w:pStyle w:val="BodyText"/>
        <w:spacing w:after="240"/>
        <w:rPr>
          <w:rStyle w:val="Removedirectformatting"/>
        </w:rPr>
      </w:pPr>
      <w:r w:rsidRPr="00E65F64">
        <w:t>Two temporary lay</w:t>
      </w:r>
      <w:r w:rsidRPr="00592A88">
        <w:rPr>
          <w:rStyle w:val="Removedirectformatting"/>
        </w:rPr>
        <w:t xml:space="preserve">down/compound areas would be established, an offsite compound for pipeline works at a suitable site near the pipeline route, and a laydown for compressor station works within the existing Wollert facility. </w:t>
      </w:r>
    </w:p>
    <w:tbl>
      <w:tblPr>
        <w:tblW w:w="0" w:type="auto"/>
        <w:tblLook w:val="04A0" w:firstRow="1" w:lastRow="0" w:firstColumn="1" w:lastColumn="0" w:noHBand="0" w:noVBand="1"/>
      </w:tblPr>
      <w:tblGrid>
        <w:gridCol w:w="3261"/>
        <w:gridCol w:w="5809"/>
      </w:tblGrid>
      <w:tr w:rsidR="00C81E40" w14:paraId="75E95F87" w14:textId="77777777" w:rsidTr="004D519B">
        <w:trPr>
          <w:cantSplit/>
        </w:trPr>
        <w:tc>
          <w:tcPr>
            <w:tcW w:w="3261" w:type="dxa"/>
          </w:tcPr>
          <w:p w14:paraId="640E6320" w14:textId="77777777" w:rsidR="00C81E40" w:rsidRDefault="00C81E40" w:rsidP="00416B51">
            <w:pPr>
              <w:pStyle w:val="BodyText"/>
              <w:spacing w:before="0"/>
            </w:pPr>
            <w:bookmarkStart w:id="26" w:name="_Toc47880172"/>
            <w:r w:rsidRPr="00592A88">
              <w:rPr>
                <w:rStyle w:val="Removedirectformatting"/>
              </w:rPr>
              <w:t xml:space="preserve">Pipeline construction is expected to progress at a rate of approximately 700 metres per day for open trenching, however, HDD and bored </w:t>
            </w:r>
            <w:r w:rsidRPr="00353E26">
              <w:t>crossings are likely to have lower daily progress rates and could take between two to three weeks at a particular location.</w:t>
            </w:r>
            <w:r w:rsidRPr="004679CB">
              <w:t xml:space="preserve"> Trenches would generally remain open for no longer than three months after excavation. The use of rock saws, hammers, or blasting is expected to be required to excavate the trench in </w:t>
            </w:r>
            <w:r>
              <w:t xml:space="preserve">some </w:t>
            </w:r>
            <w:r w:rsidRPr="004679CB">
              <w:t>areas of rock.</w:t>
            </w:r>
            <w:r w:rsidRPr="003A4A11">
              <w:t xml:space="preserve"> </w:t>
            </w:r>
            <w:r>
              <w:t>When trenching through waterways (including Jacksons Creek and Merri Creek), d</w:t>
            </w:r>
            <w:r w:rsidRPr="00166768">
              <w:t xml:space="preserve">iversion dams </w:t>
            </w:r>
            <w:r>
              <w:t>and trench breakers would</w:t>
            </w:r>
            <w:r w:rsidRPr="00166768">
              <w:t xml:space="preserve"> be constructed of appropriate materials </w:t>
            </w:r>
            <w:r>
              <w:t>to</w:t>
            </w:r>
            <w:r w:rsidRPr="00166768">
              <w:t xml:space="preserve"> minimise watercourse sedimentation</w:t>
            </w:r>
            <w:r>
              <w:t>.</w:t>
            </w:r>
          </w:p>
        </w:tc>
        <w:tc>
          <w:tcPr>
            <w:tcW w:w="5809" w:type="dxa"/>
            <w:tcMar>
              <w:left w:w="0" w:type="dxa"/>
              <w:right w:w="0" w:type="dxa"/>
            </w:tcMar>
          </w:tcPr>
          <w:p w14:paraId="16FDA5E8" w14:textId="2F9D3AF7" w:rsidR="00C81E40" w:rsidRPr="00C366DE" w:rsidRDefault="00C81E40" w:rsidP="00416B51">
            <w:pPr>
              <w:pStyle w:val="Caption"/>
              <w:spacing w:before="0"/>
              <w:rPr>
                <w:noProof/>
              </w:rPr>
            </w:pPr>
            <w:bookmarkStart w:id="27" w:name="_Hlk71236943"/>
            <w:r>
              <w:t>Figure </w:t>
            </w:r>
            <w:fldSimple w:instr=" SEQ Figure \* ARABIC ">
              <w:r>
                <w:rPr>
                  <w:noProof/>
                </w:rPr>
                <w:t>3</w:t>
              </w:r>
            </w:fldSimple>
            <w:r>
              <w:tab/>
              <w:t>Trench excavation works</w:t>
            </w:r>
          </w:p>
          <w:p w14:paraId="1BD2829C" w14:textId="77777777" w:rsidR="00C81E40" w:rsidRDefault="00C81E40" w:rsidP="00416B51">
            <w:pPr>
              <w:pStyle w:val="BodyTextSingleSpacing"/>
            </w:pPr>
            <w:r w:rsidRPr="00592A88">
              <w:rPr>
                <w:rStyle w:val="Removedirectformatting"/>
                <w:noProof/>
              </w:rPr>
              <w:drawing>
                <wp:inline distT="0" distB="0" distL="0" distR="0" wp14:anchorId="16129F5F" wp14:editId="0E701E60">
                  <wp:extent cx="3652520" cy="3221120"/>
                  <wp:effectExtent l="0" t="0" r="5080" b="0"/>
                  <wp:docPr id="25" name="Picture 25" descr="This figure shows heavy machinery digging out a trench in the ground. The pipeline sits adjacent to the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is figure shows heavy machinery digging out a trench in the ground. The pipeline sits adjacent to the trench."/>
                          <pic:cNvPicPr/>
                        </pic:nvPicPr>
                        <pic:blipFill rotWithShape="1">
                          <a:blip r:embed="rId22" cstate="hqprint">
                            <a:extLst>
                              <a:ext uri="{28A0092B-C50C-407E-A947-70E740481C1C}">
                                <a14:useLocalDpi xmlns:a14="http://schemas.microsoft.com/office/drawing/2010/main" val="0"/>
                              </a:ext>
                            </a:extLst>
                          </a:blip>
                          <a:srcRect t="11812"/>
                          <a:stretch/>
                        </pic:blipFill>
                        <pic:spPr bwMode="auto">
                          <a:xfrm>
                            <a:off x="0" y="0"/>
                            <a:ext cx="3653591" cy="3222064"/>
                          </a:xfrm>
                          <a:prstGeom prst="rect">
                            <a:avLst/>
                          </a:prstGeom>
                          <a:ln>
                            <a:noFill/>
                          </a:ln>
                          <a:extLst>
                            <a:ext uri="{53640926-AAD7-44D8-BBD7-CCE9431645EC}">
                              <a14:shadowObscured xmlns:a14="http://schemas.microsoft.com/office/drawing/2010/main"/>
                            </a:ext>
                          </a:extLst>
                        </pic:spPr>
                      </pic:pic>
                    </a:graphicData>
                  </a:graphic>
                </wp:inline>
              </w:drawing>
            </w:r>
          </w:p>
        </w:tc>
      </w:tr>
    </w:tbl>
    <w:bookmarkEnd w:id="27"/>
    <w:p w14:paraId="1502BB7A" w14:textId="77777777" w:rsidR="00592A88" w:rsidRDefault="00592A88" w:rsidP="00763CFE">
      <w:pPr>
        <w:pStyle w:val="BodyText"/>
        <w:spacing w:before="120"/>
      </w:pPr>
      <w:r>
        <w:t xml:space="preserve">In some cases, due to the presence of areas of high ecological significance, existing assets or other constraints, the pipeline would be constructed using trenchless construction techniques such as HDD or shallow horizontal boring. </w:t>
      </w:r>
    </w:p>
    <w:p w14:paraId="24DEED7F" w14:textId="77777777" w:rsidR="009A4C12" w:rsidRPr="009A4C12" w:rsidRDefault="00592A88" w:rsidP="009A4C12">
      <w:pPr>
        <w:pStyle w:val="BodyText"/>
      </w:pPr>
      <w:bookmarkStart w:id="28" w:name="_Hlk69719637"/>
      <w:bookmarkEnd w:id="26"/>
      <w:r>
        <w:t>Excavated s</w:t>
      </w:r>
      <w:r w:rsidRPr="0058479A">
        <w:t xml:space="preserve">oil will be stockpiled </w:t>
      </w:r>
      <w:bookmarkEnd w:id="28"/>
      <w:r w:rsidRPr="0058479A">
        <w:t xml:space="preserve">to be re-used in backfilling. The volume of material reused would vary location to location based on soil profile and quality. Spoil would be stockpiled separate from vegetation and topsoil </w:t>
      </w:r>
      <w:r>
        <w:t>to provide for appropriate reinstatement of material excavated</w:t>
      </w:r>
      <w:r w:rsidRPr="0058479A">
        <w:t>.</w:t>
      </w:r>
      <w:r w:rsidRPr="001A7D36">
        <w:t xml:space="preserve"> </w:t>
      </w:r>
    </w:p>
    <w:p w14:paraId="1749E121" w14:textId="77777777" w:rsidR="009A4C12" w:rsidRDefault="009A4C12" w:rsidP="009A4C12">
      <w:pPr>
        <w:pStyle w:val="Heading4"/>
      </w:pPr>
      <w:bookmarkStart w:id="29" w:name="_Toc71731122"/>
      <w:bookmarkStart w:id="30" w:name="_Toc72510143"/>
      <w:bookmarkStart w:id="31" w:name="_Toc74108843"/>
      <w:r>
        <w:t>Rehabilitation</w:t>
      </w:r>
      <w:r w:rsidR="00DD7689">
        <w:t xml:space="preserve"> and pipeline commissioning</w:t>
      </w:r>
      <w:bookmarkEnd w:id="29"/>
      <w:bookmarkEnd w:id="30"/>
      <w:bookmarkEnd w:id="31"/>
    </w:p>
    <w:p w14:paraId="084E671D" w14:textId="77777777" w:rsidR="00DD7689" w:rsidRDefault="00DD7689" w:rsidP="00DD7689">
      <w:pPr>
        <w:pStyle w:val="BodyText"/>
      </w:pPr>
      <w:r w:rsidRPr="00E65F64">
        <w:t xml:space="preserve">Rehabilitation of the construction area and all temporary facilities, temporary access tracks and extra work areas would begin as soon as practicable after the completion of the construction activities, with the aim of restoration of ground cover within six months. </w:t>
      </w:r>
    </w:p>
    <w:p w14:paraId="42D678E2" w14:textId="77777777" w:rsidR="00DD7689" w:rsidRPr="00E65F64" w:rsidRDefault="00DD7689" w:rsidP="00DD7689">
      <w:pPr>
        <w:pStyle w:val="BodyText"/>
      </w:pPr>
      <w:r w:rsidRPr="00E65F64">
        <w:lastRenderedPageBreak/>
        <w:t xml:space="preserve">The pipeline would be pressure tested prior to commissioning. </w:t>
      </w:r>
      <w:r>
        <w:t>H</w:t>
      </w:r>
      <w:r w:rsidRPr="00E65F64">
        <w:t xml:space="preserve">ydrostatic testing </w:t>
      </w:r>
      <w:r>
        <w:t xml:space="preserve">involves </w:t>
      </w:r>
      <w:r w:rsidRPr="00E65F64">
        <w:t xml:space="preserve">sections of the pipeline </w:t>
      </w:r>
      <w:r>
        <w:t xml:space="preserve">being </w:t>
      </w:r>
      <w:r w:rsidRPr="00E65F64">
        <w:t>filled with water and then pressurised</w:t>
      </w:r>
      <w:r>
        <w:t>. Following testing</w:t>
      </w:r>
      <w:r w:rsidR="00C52F85">
        <w:t xml:space="preserve">, </w:t>
      </w:r>
      <w:proofErr w:type="gramStart"/>
      <w:r w:rsidR="00C52F85">
        <w:t>commissioning</w:t>
      </w:r>
      <w:proofErr w:type="gramEnd"/>
      <w:r>
        <w:t xml:space="preserve"> </w:t>
      </w:r>
      <w:r w:rsidRPr="00E65F64">
        <w:t xml:space="preserve">and </w:t>
      </w:r>
      <w:r>
        <w:t xml:space="preserve">the issue of a </w:t>
      </w:r>
      <w:r w:rsidRPr="00E65F64">
        <w:t>Consent to Operate from Energy</w:t>
      </w:r>
      <w:r>
        <w:t xml:space="preserve"> </w:t>
      </w:r>
      <w:r w:rsidRPr="00E65F64">
        <w:t>Safe Victoria</w:t>
      </w:r>
      <w:r>
        <w:t>, gas flow would commence in the pipeline</w:t>
      </w:r>
      <w:r w:rsidRPr="00E65F64">
        <w:t>.</w:t>
      </w:r>
    </w:p>
    <w:p w14:paraId="38E85C87" w14:textId="77777777" w:rsidR="009A4C12" w:rsidRPr="009A4C12" w:rsidRDefault="009A4C12" w:rsidP="009A4C12">
      <w:pPr>
        <w:pStyle w:val="Heading4"/>
      </w:pPr>
      <w:bookmarkStart w:id="32" w:name="_Toc71731123"/>
      <w:bookmarkStart w:id="33" w:name="_Toc72510144"/>
      <w:bookmarkStart w:id="34" w:name="_Toc74108844"/>
      <w:r>
        <w:t>Operation and maintenance</w:t>
      </w:r>
      <w:bookmarkEnd w:id="32"/>
      <w:bookmarkEnd w:id="33"/>
      <w:bookmarkEnd w:id="34"/>
    </w:p>
    <w:p w14:paraId="45328C7F" w14:textId="77777777" w:rsidR="00FC7628" w:rsidRPr="00FC7628" w:rsidRDefault="00DD7689" w:rsidP="00FC7628">
      <w:pPr>
        <w:pStyle w:val="BodyText"/>
      </w:pPr>
      <w:r>
        <w:t>T</w:t>
      </w:r>
      <w:r w:rsidRPr="00E65F64">
        <w:t>he land</w:t>
      </w:r>
      <w:r w:rsidR="002C6392">
        <w:t xml:space="preserve"> within the pipeline construction corridor</w:t>
      </w:r>
      <w:r w:rsidRPr="00E65F64">
        <w:t xml:space="preserve"> would be generally returned to its previous use</w:t>
      </w:r>
      <w:r w:rsidR="002C6392">
        <w:t xml:space="preserve"> following rehabilitation</w:t>
      </w:r>
      <w:r w:rsidRPr="00E65F64">
        <w:t>.</w:t>
      </w:r>
      <w:r>
        <w:t xml:space="preserve"> T</w:t>
      </w:r>
      <w:r w:rsidRPr="00E65F64">
        <w:t>he pipeline would be owned and maintained by APA. The operational footprint will be delineated by a</w:t>
      </w:r>
      <w:r>
        <w:t>n</w:t>
      </w:r>
      <w:r w:rsidRPr="00E65F64">
        <w:t xml:space="preserve"> easement, with a standard width of</w:t>
      </w:r>
      <w:r w:rsidR="00C52F85">
        <w:t xml:space="preserve"> nominally</w:t>
      </w:r>
      <w:r w:rsidRPr="00E65F64">
        <w:t xml:space="preserve"> 15 metres. Routine</w:t>
      </w:r>
      <w:r w:rsidR="00763CFE">
        <w:t> </w:t>
      </w:r>
      <w:r w:rsidRPr="00E65F64">
        <w:t>corridor inspections would be undertaken to monitor the pipeline easement for any operational or maintenance issues.</w:t>
      </w:r>
    </w:p>
    <w:p w14:paraId="3F44BBBA" w14:textId="77777777" w:rsidR="00712AC5" w:rsidRDefault="00712AC5" w:rsidP="00712AC5">
      <w:pPr>
        <w:pStyle w:val="Heading3"/>
      </w:pPr>
      <w:bookmarkStart w:id="35" w:name="_Toc71731124"/>
      <w:bookmarkStart w:id="36" w:name="_Toc72495995"/>
      <w:bookmarkStart w:id="37" w:name="_Toc72510145"/>
      <w:bookmarkStart w:id="38" w:name="_Toc74108845"/>
      <w:r>
        <w:t>Planning</w:t>
      </w:r>
      <w:bookmarkEnd w:id="35"/>
      <w:bookmarkEnd w:id="36"/>
      <w:bookmarkEnd w:id="37"/>
      <w:bookmarkEnd w:id="38"/>
    </w:p>
    <w:p w14:paraId="4AE2B55F" w14:textId="77777777" w:rsidR="00712AC5" w:rsidRDefault="009A4C12" w:rsidP="00712AC5">
      <w:pPr>
        <w:pStyle w:val="Heading4"/>
      </w:pPr>
      <w:bookmarkStart w:id="39" w:name="_Toc71731125"/>
      <w:bookmarkStart w:id="40" w:name="_Toc72510146"/>
      <w:bookmarkStart w:id="41" w:name="_Toc74108846"/>
      <w:r>
        <w:t>The EES process</w:t>
      </w:r>
      <w:bookmarkEnd w:id="39"/>
      <w:bookmarkEnd w:id="40"/>
      <w:bookmarkEnd w:id="41"/>
    </w:p>
    <w:p w14:paraId="7654DF71" w14:textId="77777777" w:rsidR="00DD7689" w:rsidRPr="00823F61" w:rsidRDefault="00DD7689" w:rsidP="00DD7689">
      <w:pPr>
        <w:pStyle w:val="BodyText"/>
      </w:pPr>
      <w:r w:rsidRPr="00823F61">
        <w:t xml:space="preserve">On 22 December 2019, the Minister </w:t>
      </w:r>
      <w:r>
        <w:t xml:space="preserve">for Planning </w:t>
      </w:r>
      <w:r w:rsidRPr="00823F61">
        <w:t xml:space="preserve">determined that the Project would require an EES under the </w:t>
      </w:r>
      <w:r w:rsidRPr="0050047C">
        <w:rPr>
          <w:rStyle w:val="Italics"/>
        </w:rPr>
        <w:t>Environment Effects Act 1978</w:t>
      </w:r>
      <w:r w:rsidRPr="00823F61">
        <w:t xml:space="preserve"> (Vic) (EE Act). The EE Act sets out the process for the Minister to require the proponent of a project to prepare an EES where a project is considered to have a significant environmental or social effect pursuant to the EES Guidelines. </w:t>
      </w:r>
    </w:p>
    <w:p w14:paraId="310CDB67" w14:textId="77777777" w:rsidR="00DD7689" w:rsidRPr="00823F61" w:rsidRDefault="00DD7689" w:rsidP="00DD7689">
      <w:pPr>
        <w:pStyle w:val="BodyText"/>
      </w:pPr>
      <w:r w:rsidRPr="00823F61">
        <w:t xml:space="preserve">Following this decision, the Minister issued the draft EES scoping requirements for public comment, which the Minister then finalised and </w:t>
      </w:r>
      <w:r>
        <w:t>approved on 23 August 2020.</w:t>
      </w:r>
      <w:r w:rsidRPr="00823F61">
        <w:t xml:space="preserve"> This EES has been prepared in accordance with scoping requirements issued by the Minister.</w:t>
      </w:r>
    </w:p>
    <w:p w14:paraId="5549C0E1" w14:textId="77777777" w:rsidR="00DD7689" w:rsidRPr="00823F61" w:rsidRDefault="00DD7689" w:rsidP="00DD7689">
      <w:pPr>
        <w:pStyle w:val="BodyText"/>
      </w:pPr>
      <w:r>
        <w:t>An</w:t>
      </w:r>
      <w:r w:rsidRPr="00823F61">
        <w:t xml:space="preserve"> EES provides sufficient detail for</w:t>
      </w:r>
      <w:r w:rsidRPr="00E65F64">
        <w:t xml:space="preserve"> the Minister for Planning to make a final assessment as to the Project’s acceptability</w:t>
      </w:r>
      <w:r>
        <w:t>.</w:t>
      </w:r>
      <w:r w:rsidRPr="00823F61">
        <w:t xml:space="preserve"> An EES assessment demonstrates the ability of the Project to meet statutory requirements. </w:t>
      </w:r>
      <w:r w:rsidR="004B73B8">
        <w:t>The EES Inquiry Report and Minister's Assessment of Environmental Effects will provide</w:t>
      </w:r>
      <w:r w:rsidRPr="00823F61">
        <w:t xml:space="preserve"> decision-makers (including Ministers and other statutory authorities) with the information they need to make decisions about whether statutory approvals for the </w:t>
      </w:r>
      <w:r w:rsidR="00021FC6">
        <w:t>P</w:t>
      </w:r>
      <w:r w:rsidR="00021FC6" w:rsidRPr="00823F61">
        <w:t xml:space="preserve">roject </w:t>
      </w:r>
      <w:r w:rsidRPr="00823F61">
        <w:t>should be granted and, if so, what conditions should apply.</w:t>
      </w:r>
    </w:p>
    <w:p w14:paraId="09795600" w14:textId="77777777" w:rsidR="00FC7628" w:rsidRPr="00FC7628" w:rsidRDefault="00DD7689" w:rsidP="00763CFE">
      <w:pPr>
        <w:pStyle w:val="BodyText"/>
        <w:ind w:right="-170"/>
      </w:pPr>
      <w:r>
        <w:t>The</w:t>
      </w:r>
      <w:r w:rsidRPr="00823F61">
        <w:t xml:space="preserve"> EES describes the Project and its potential environmental effects. It enables </w:t>
      </w:r>
      <w:r>
        <w:t xml:space="preserve">the public, </w:t>
      </w:r>
      <w:proofErr w:type="gramStart"/>
      <w:r w:rsidRPr="00823F61">
        <w:t>stakeholders</w:t>
      </w:r>
      <w:proofErr w:type="gramEnd"/>
      <w:r w:rsidRPr="00823F61">
        <w:t xml:space="preserve"> and decision-makers to understand how the Project works are to be designed, constructed and operated and the likely environmental effects.</w:t>
      </w:r>
      <w:r>
        <w:t xml:space="preserve"> </w:t>
      </w:r>
      <w:r w:rsidRPr="00E65F64">
        <w:t>A</w:t>
      </w:r>
      <w:r>
        <w:t xml:space="preserve">n </w:t>
      </w:r>
      <w:r w:rsidRPr="00E65F64">
        <w:t xml:space="preserve">EES </w:t>
      </w:r>
      <w:r>
        <w:t xml:space="preserve">process provides </w:t>
      </w:r>
      <w:r w:rsidRPr="00E65F64">
        <w:t xml:space="preserve">fair opportunities for </w:t>
      </w:r>
      <w:r>
        <w:t xml:space="preserve">public </w:t>
      </w:r>
      <w:r w:rsidRPr="00E65F64">
        <w:t xml:space="preserve">participation in assessment </w:t>
      </w:r>
      <w:r w:rsidRPr="00823F61">
        <w:t>processes</w:t>
      </w:r>
      <w:r w:rsidRPr="00E65F64">
        <w:t>. APA is committed to responding to and implementing a high standard of consultation and engagement principles in communications and engagement for the Project.</w:t>
      </w:r>
    </w:p>
    <w:p w14:paraId="0EE504D0" w14:textId="77777777" w:rsidR="00712AC5" w:rsidRDefault="00DD7689" w:rsidP="00712AC5">
      <w:pPr>
        <w:pStyle w:val="Heading4"/>
      </w:pPr>
      <w:bookmarkStart w:id="42" w:name="_Toc71731126"/>
      <w:bookmarkStart w:id="43" w:name="_Toc72510147"/>
      <w:bookmarkStart w:id="44" w:name="_Toc74108847"/>
      <w:r>
        <w:t>Project approvals</w:t>
      </w:r>
      <w:bookmarkEnd w:id="42"/>
      <w:bookmarkEnd w:id="43"/>
      <w:bookmarkEnd w:id="44"/>
    </w:p>
    <w:p w14:paraId="02F645A1" w14:textId="77777777" w:rsidR="00DD7689" w:rsidRDefault="00DD7689" w:rsidP="00DD7689">
      <w:pPr>
        <w:pStyle w:val="BodyText"/>
      </w:pPr>
      <w:r>
        <w:t xml:space="preserve">The principal environmental approval for the Project under Commonwealth legislation is </w:t>
      </w:r>
      <w:r w:rsidRPr="00540FAB">
        <w:t xml:space="preserve">assessment and approval under the </w:t>
      </w:r>
      <w:r w:rsidRPr="00540FAB">
        <w:rPr>
          <w:rStyle w:val="Italics"/>
        </w:rPr>
        <w:t xml:space="preserve">Environment Protection </w:t>
      </w:r>
      <w:r>
        <w:rPr>
          <w:rStyle w:val="Italics"/>
        </w:rPr>
        <w:t xml:space="preserve">and </w:t>
      </w:r>
      <w:r w:rsidRPr="00540FAB">
        <w:rPr>
          <w:rStyle w:val="Italics"/>
        </w:rPr>
        <w:t>Biodiversity Conservation Act 1999</w:t>
      </w:r>
      <w:r w:rsidRPr="00540FAB">
        <w:t xml:space="preserve"> (</w:t>
      </w:r>
      <w:proofErr w:type="spellStart"/>
      <w:r w:rsidRPr="00540FAB">
        <w:t>EPBC</w:t>
      </w:r>
      <w:proofErr w:type="spellEnd"/>
      <w:r w:rsidRPr="00540FAB">
        <w:t xml:space="preserve"> Act), under the assessment bilateral agreement with Victoria made under section 45 of the </w:t>
      </w:r>
      <w:proofErr w:type="spellStart"/>
      <w:r w:rsidRPr="00540FAB">
        <w:t>EPBC</w:t>
      </w:r>
      <w:proofErr w:type="spellEnd"/>
      <w:r w:rsidRPr="00540FAB">
        <w:t xml:space="preserve"> Act. </w:t>
      </w:r>
    </w:p>
    <w:p w14:paraId="3CD9EF74" w14:textId="77777777" w:rsidR="00DD7689" w:rsidRPr="00540FAB" w:rsidRDefault="00DD7689" w:rsidP="00DD7689">
      <w:pPr>
        <w:pStyle w:val="BodyText"/>
      </w:pPr>
      <w:r>
        <w:t>This is in accordance with the Minister for the Environment's determination in February 2020 that the proposed Project is a controlled action due to significant impact on listed threatened species and communities, which are designated Matters of Environmental Significance (</w:t>
      </w:r>
      <w:proofErr w:type="spellStart"/>
      <w:r>
        <w:t>MNES</w:t>
      </w:r>
      <w:proofErr w:type="spellEnd"/>
      <w:r>
        <w:t>).</w:t>
      </w:r>
      <w:r w:rsidRPr="00540FAB">
        <w:t xml:space="preserve"> </w:t>
      </w:r>
      <w:r w:rsidRPr="00432330">
        <w:t>Part of the Project is located within an approved Melbourne Strategic Assessment (</w:t>
      </w:r>
      <w:proofErr w:type="spellStart"/>
      <w:r w:rsidRPr="00432330">
        <w:t>MSA</w:t>
      </w:r>
      <w:proofErr w:type="spellEnd"/>
      <w:r w:rsidRPr="00432330">
        <w:t xml:space="preserve">) area approved under Part 10 of the </w:t>
      </w:r>
      <w:proofErr w:type="spellStart"/>
      <w:r w:rsidRPr="00432330">
        <w:t>EPBC</w:t>
      </w:r>
      <w:proofErr w:type="spellEnd"/>
      <w:r w:rsidRPr="00432330">
        <w:t xml:space="preserve"> Act. For all projects within the approved </w:t>
      </w:r>
      <w:proofErr w:type="spellStart"/>
      <w:r w:rsidRPr="00432330">
        <w:t>MSA</w:t>
      </w:r>
      <w:proofErr w:type="spellEnd"/>
      <w:r w:rsidRPr="00432330">
        <w:t xml:space="preserve"> areas, no further approvals are required under the </w:t>
      </w:r>
      <w:proofErr w:type="spellStart"/>
      <w:r w:rsidRPr="00432330">
        <w:t>EPBC</w:t>
      </w:r>
      <w:proofErr w:type="spellEnd"/>
      <w:r w:rsidRPr="00432330">
        <w:t xml:space="preserve"> Act for the Project provided certain conditions are adhered to.</w:t>
      </w:r>
    </w:p>
    <w:p w14:paraId="0FC4174D" w14:textId="77777777" w:rsidR="00DD7689" w:rsidRPr="00540FAB" w:rsidRDefault="00DD7689" w:rsidP="00EA702E">
      <w:pPr>
        <w:pStyle w:val="BodyText"/>
        <w:keepNext/>
      </w:pPr>
      <w:r w:rsidRPr="00540FAB">
        <w:lastRenderedPageBreak/>
        <w:t>The Project requires the following principal approvals under Victorian legislation:</w:t>
      </w:r>
    </w:p>
    <w:p w14:paraId="70BEAD80" w14:textId="77777777" w:rsidR="00DD7689" w:rsidRPr="00E65F64" w:rsidRDefault="00DD7689" w:rsidP="00DD7689">
      <w:pPr>
        <w:pStyle w:val="BodyBullet1"/>
      </w:pPr>
      <w:r w:rsidRPr="00E65F64">
        <w:t xml:space="preserve">Pipeline Licence under the </w:t>
      </w:r>
      <w:r w:rsidRPr="00E65F64">
        <w:rPr>
          <w:rStyle w:val="Italics"/>
        </w:rPr>
        <w:t xml:space="preserve">Pipelines Act 2005 </w:t>
      </w:r>
      <w:r w:rsidRPr="001A7D36">
        <w:rPr>
          <w:rStyle w:val="Italics"/>
        </w:rPr>
        <w:t>(Pipelines Act)</w:t>
      </w:r>
      <w:r w:rsidRPr="00E65F64">
        <w:t xml:space="preserve"> for construction and operation of the</w:t>
      </w:r>
      <w:r w:rsidR="00763CFE">
        <w:t> </w:t>
      </w:r>
      <w:r w:rsidRPr="00E65F64">
        <w:t>pipeline</w:t>
      </w:r>
    </w:p>
    <w:p w14:paraId="5E13011B" w14:textId="77777777" w:rsidR="00DD7689" w:rsidRPr="00E65F64" w:rsidRDefault="00DD7689" w:rsidP="00DD7689">
      <w:pPr>
        <w:pStyle w:val="BodyBullet1"/>
      </w:pPr>
      <w:r w:rsidRPr="00E65F64">
        <w:t>Cultural Heritage Management Plan</w:t>
      </w:r>
      <w:r>
        <w:t>s</w:t>
      </w:r>
      <w:r w:rsidRPr="00E65F64">
        <w:t xml:space="preserve"> (</w:t>
      </w:r>
      <w:proofErr w:type="spellStart"/>
      <w:r w:rsidRPr="00E65F64">
        <w:t>CHMP</w:t>
      </w:r>
      <w:proofErr w:type="spellEnd"/>
      <w:r w:rsidRPr="00E65F64">
        <w:t xml:space="preserve">) under the </w:t>
      </w:r>
      <w:r w:rsidRPr="00E65F64">
        <w:rPr>
          <w:rStyle w:val="Italics"/>
        </w:rPr>
        <w:t xml:space="preserve">Aboriginal Heritage Act 2006 </w:t>
      </w:r>
      <w:r w:rsidRPr="001A7D36">
        <w:rPr>
          <w:rStyle w:val="Italics"/>
        </w:rPr>
        <w:t>(AH Act)</w:t>
      </w:r>
      <w:r w:rsidRPr="001A7D36">
        <w:t>.</w:t>
      </w:r>
      <w:r w:rsidRPr="00E65F64">
        <w:t xml:space="preserve"> </w:t>
      </w:r>
    </w:p>
    <w:p w14:paraId="1A1E6185" w14:textId="77777777" w:rsidR="00DD7689" w:rsidRDefault="00DD7689" w:rsidP="00DD7689">
      <w:pPr>
        <w:pStyle w:val="BodyText"/>
      </w:pPr>
      <w:r w:rsidRPr="00766EE8">
        <w:t>Other approvals for</w:t>
      </w:r>
      <w:r w:rsidRPr="001A7D36">
        <w:t xml:space="preserve"> the Project under Victorian legislation would be sought as a secondary process after the above principal approvals are obtained. </w:t>
      </w:r>
    </w:p>
    <w:p w14:paraId="1A8FF6B2" w14:textId="406119B4" w:rsidR="00DD7689" w:rsidRDefault="00DD7689" w:rsidP="00DD7689">
      <w:pPr>
        <w:pStyle w:val="BodyText"/>
      </w:pPr>
      <w:r w:rsidRPr="00E65F64">
        <w:t xml:space="preserve">The </w:t>
      </w:r>
      <w:r>
        <w:t xml:space="preserve">approvals </w:t>
      </w:r>
      <w:r w:rsidRPr="00E65F64">
        <w:t>process</w:t>
      </w:r>
      <w:r>
        <w:t xml:space="preserve"> is</w:t>
      </w:r>
      <w:r w:rsidRPr="00E65F64">
        <w:t xml:space="preserve"> outlined in</w:t>
      </w:r>
      <w:r>
        <w:t xml:space="preserve"> </w:t>
      </w:r>
      <w:r>
        <w:fldChar w:fldCharType="begin"/>
      </w:r>
      <w:r>
        <w:instrText xml:space="preserve"> REF _Ref69556015 \h </w:instrText>
      </w:r>
      <w:r>
        <w:fldChar w:fldCharType="separate"/>
      </w:r>
      <w:r w:rsidR="007829FC">
        <w:t>Figure </w:t>
      </w:r>
      <w:r w:rsidR="007829FC">
        <w:rPr>
          <w:noProof/>
        </w:rPr>
        <w:t>4</w:t>
      </w:r>
      <w:r>
        <w:fldChar w:fldCharType="end"/>
      </w:r>
      <w:r>
        <w:t>.</w:t>
      </w:r>
    </w:p>
    <w:p w14:paraId="1FF7DA2A" w14:textId="554739FE" w:rsidR="00DD7689" w:rsidRDefault="00DD7689" w:rsidP="00DD7689">
      <w:pPr>
        <w:pStyle w:val="Caption"/>
      </w:pPr>
      <w:bookmarkStart w:id="45" w:name="_Ref69556015"/>
      <w:r>
        <w:t>Figure</w:t>
      </w:r>
      <w:r w:rsidR="00CE5CD3">
        <w:t> </w:t>
      </w:r>
      <w:r w:rsidR="00113B39">
        <w:fldChar w:fldCharType="begin"/>
      </w:r>
      <w:r w:rsidR="00113B39">
        <w:instrText xml:space="preserve"> SEQ Figure \* ARABIC </w:instrText>
      </w:r>
      <w:r w:rsidR="00113B39">
        <w:fldChar w:fldCharType="separate"/>
      </w:r>
      <w:r w:rsidR="00C320AC">
        <w:rPr>
          <w:noProof/>
        </w:rPr>
        <w:t>4</w:t>
      </w:r>
      <w:r w:rsidR="00113B39">
        <w:rPr>
          <w:noProof/>
        </w:rPr>
        <w:fldChar w:fldCharType="end"/>
      </w:r>
      <w:bookmarkEnd w:id="45"/>
      <w:r>
        <w:tab/>
      </w:r>
      <w:proofErr w:type="gramStart"/>
      <w:r>
        <w:t>Approvals</w:t>
      </w:r>
      <w:proofErr w:type="gramEnd"/>
      <w:r>
        <w:t xml:space="preserve"> process</w:t>
      </w:r>
    </w:p>
    <w:p w14:paraId="02794C63" w14:textId="5106BB0D" w:rsidR="00C81E40" w:rsidRDefault="00C81E40" w:rsidP="00C81E40">
      <w:pPr>
        <w:pStyle w:val="Object"/>
      </w:pPr>
      <w:r>
        <w:rPr>
          <w:noProof/>
        </w:rPr>
        <w:drawing>
          <wp:inline distT="0" distB="0" distL="0" distR="0" wp14:anchorId="295D5B3D" wp14:editId="043585CC">
            <wp:extent cx="5760000" cy="6075766"/>
            <wp:effectExtent l="0" t="0" r="0" b="1270"/>
            <wp:docPr id="4" name="Picture 4" descr="This figure provides an overview of the Commonwealth and Victorian approvals processes. &#10;&#10;Under the Victorian Government Assessment Process (Environment Effects Act), the following steps would occur:&#10;1. APA refers project to Minister for Planning&#10;2. Minister decises if an EES is required&#10;3. Minister decides Scoping Requirements (following public exhibition process)&#10;4. APA commission and conduct EES activities&#10;5. EES and applicaiton documents reviewed by DELWP and regulators&#10;6. Public exhibition of EES and Pipeline License Application&#10;7. Public submissions&#10;8. Inquiry and Advisory Committee/Panel consideations of EES and submisisons&#10;9. Inquiry and Advisory Committee/Panel report prepared&#10;10. Minister for Planning's assessment prepared&#10;&#10;Under the Commonwealth Government Assessment Process (Environmental Protection and Biodiversity Conservation Act), the following steps would occur:&#10;1. APA refers project to Minister for Environment and Energy&#10;2. Project determined as controlled action and accredited assessment process&#10;3. Commonwealth decision under EPBC Act whether to approve controlled actions.&#10;&#10;Under the following Victorian Government Approvals (Pipelines Act and Aboriginal Heritage Act), the following approvals are required:&#10;1. Pipeline License under the Pipelines Act 2005&#10;2. Cultural Heritage Management Plans under the Aboriginal Heritage Act 2006&#10;Secondary approvals will be required during the delivery of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is figure provides an overview of the Commonwealth and Victorian approvals processes. &#10;&#10;Under the Victorian Government Assessment Process (Environment Effects Act), the following steps would occur:&#10;1. APA refers project to Minister for Planning&#10;2. Minister decises if an EES is required&#10;3. Minister decides Scoping Requirements (following public exhibition process)&#10;4. APA commission and conduct EES activities&#10;5. EES and applicaiton documents reviewed by DELWP and regulators&#10;6. Public exhibition of EES and Pipeline License Application&#10;7. Public submissions&#10;8. Inquiry and Advisory Committee/Panel consideations of EES and submisisons&#10;9. Inquiry and Advisory Committee/Panel report prepared&#10;10. Minister for Planning's assessment prepared&#10;&#10;Under the Commonwealth Government Assessment Process (Environmental Protection and Biodiversity Conservation Act), the following steps would occur:&#10;1. APA refers project to Minister for Environment and Energy&#10;2. Project determined as controlled action and accredited assessment process&#10;3. Commonwealth decision under EPBC Act whether to approve controlled actions.&#10;&#10;Under the following Victorian Government Approvals (Pipelines Act and Aboriginal Heritage Act), the following approvals are required:&#10;1. Pipeline License under the Pipelines Act 2005&#10;2. Cultural Heritage Management Plans under the Aboriginal Heritage Act 2006&#10;Secondary approvals will be required during the delivery of the project."/>
                    <pic:cNvPicPr/>
                  </pic:nvPicPr>
                  <pic:blipFill rotWithShape="1">
                    <a:blip r:embed="rId23">
                      <a:extLst>
                        <a:ext uri="{28A0092B-C50C-407E-A947-70E740481C1C}">
                          <a14:useLocalDpi xmlns:a14="http://schemas.microsoft.com/office/drawing/2010/main" val="0"/>
                        </a:ext>
                      </a:extLst>
                    </a:blip>
                    <a:srcRect l="7773" t="4843" r="4741" b="7988"/>
                    <a:stretch/>
                  </pic:blipFill>
                  <pic:spPr bwMode="auto">
                    <a:xfrm>
                      <a:off x="0" y="0"/>
                      <a:ext cx="5760000" cy="6075766"/>
                    </a:xfrm>
                    <a:prstGeom prst="rect">
                      <a:avLst/>
                    </a:prstGeom>
                    <a:ln>
                      <a:noFill/>
                    </a:ln>
                    <a:extLst>
                      <a:ext uri="{53640926-AAD7-44D8-BBD7-CCE9431645EC}">
                        <a14:shadowObscured xmlns:a14="http://schemas.microsoft.com/office/drawing/2010/main"/>
                      </a:ext>
                    </a:extLst>
                  </pic:spPr>
                </pic:pic>
              </a:graphicData>
            </a:graphic>
          </wp:inline>
        </w:drawing>
      </w:r>
    </w:p>
    <w:p w14:paraId="479CA74D" w14:textId="6E573568" w:rsidR="00FB516F" w:rsidRDefault="00712AC5" w:rsidP="00712AC5">
      <w:pPr>
        <w:pStyle w:val="Heading3"/>
      </w:pPr>
      <w:bookmarkStart w:id="46" w:name="_Toc71731127"/>
      <w:bookmarkStart w:id="47" w:name="_Toc72495996"/>
      <w:bookmarkStart w:id="48" w:name="_Toc72510148"/>
      <w:bookmarkStart w:id="49" w:name="_Toc74108848"/>
      <w:r>
        <w:lastRenderedPageBreak/>
        <w:t>Assessing the Project's impacts</w:t>
      </w:r>
      <w:bookmarkEnd w:id="46"/>
      <w:bookmarkEnd w:id="47"/>
      <w:bookmarkEnd w:id="48"/>
      <w:bookmarkEnd w:id="49"/>
    </w:p>
    <w:p w14:paraId="09D7B939" w14:textId="465DB2C9" w:rsidR="00FC7628" w:rsidRDefault="00FC7628" w:rsidP="00FC7628">
      <w:pPr>
        <w:pStyle w:val="Heading4"/>
      </w:pPr>
      <w:bookmarkStart w:id="50" w:name="_Toc71731128"/>
      <w:bookmarkStart w:id="51" w:name="_Toc72510149"/>
      <w:bookmarkStart w:id="52" w:name="_Toc74108849"/>
      <w:r>
        <w:t>Assessment approach</w:t>
      </w:r>
      <w:bookmarkEnd w:id="50"/>
      <w:bookmarkEnd w:id="51"/>
      <w:bookmarkEnd w:id="52"/>
    </w:p>
    <w:p w14:paraId="2F1E2488" w14:textId="56581288" w:rsidR="00812D2B" w:rsidRDefault="00812D2B" w:rsidP="00812D2B">
      <w:pPr>
        <w:pStyle w:val="BodyText"/>
      </w:pPr>
      <w:r w:rsidRPr="00E65F64">
        <w:t>To ensure a consistent and transparent approach to the evaluation of potential impacts on the environment, an assessment framework was developed for the Project EES.</w:t>
      </w:r>
      <w:r>
        <w:t xml:space="preserve"> </w:t>
      </w:r>
    </w:p>
    <w:tbl>
      <w:tblPr>
        <w:tblW w:w="0" w:type="auto"/>
        <w:tblLook w:val="04A0" w:firstRow="1" w:lastRow="0" w:firstColumn="1" w:lastColumn="0" w:noHBand="0" w:noVBand="1"/>
      </w:tblPr>
      <w:tblGrid>
        <w:gridCol w:w="5474"/>
        <w:gridCol w:w="3581"/>
      </w:tblGrid>
      <w:tr w:rsidR="00EA702E" w14:paraId="0A0A3215" w14:textId="77777777" w:rsidTr="00EA702E">
        <w:trPr>
          <w:cantSplit/>
        </w:trPr>
        <w:tc>
          <w:tcPr>
            <w:tcW w:w="5474" w:type="dxa"/>
            <w:tcBorders>
              <w:right w:val="single" w:sz="12" w:space="0" w:color="1C4483" w:themeColor="accent1"/>
            </w:tcBorders>
            <w:tcMar>
              <w:left w:w="0" w:type="dxa"/>
              <w:right w:w="170" w:type="dxa"/>
            </w:tcMar>
          </w:tcPr>
          <w:p w14:paraId="73B002EC" w14:textId="77777777" w:rsidR="00EA702E" w:rsidRPr="00E65F64" w:rsidRDefault="00EA702E" w:rsidP="00EA702E">
            <w:pPr>
              <w:pStyle w:val="BodyText"/>
              <w:spacing w:before="120"/>
            </w:pPr>
            <w:r w:rsidRPr="00E65F64">
              <w:t>The key components of the assessment framework are:</w:t>
            </w:r>
          </w:p>
          <w:p w14:paraId="4852BC19" w14:textId="6D6BBE6D" w:rsidR="00EA702E" w:rsidRDefault="00EA702E" w:rsidP="00EA702E">
            <w:pPr>
              <w:pStyle w:val="BodyBullet1"/>
              <w:spacing w:after="0"/>
            </w:pPr>
            <w:r w:rsidRPr="00E65F64">
              <w:t xml:space="preserve">Evaluation framework – the EES scoping requirements </w:t>
            </w:r>
            <w:r>
              <w:t xml:space="preserve">including the </w:t>
            </w:r>
            <w:r w:rsidRPr="00E65F64">
              <w:t>evaluation objectives identify desired environmental outcomes for the Project as established by the Minister for Plannin</w:t>
            </w:r>
            <w:r>
              <w:t>g. R</w:t>
            </w:r>
            <w:r w:rsidRPr="00E65F64">
              <w:t>elevant policy and legislation</w:t>
            </w:r>
            <w:r>
              <w:t xml:space="preserve"> also establish the framework for assessment</w:t>
            </w:r>
          </w:p>
        </w:tc>
        <w:tc>
          <w:tcPr>
            <w:tcW w:w="3581" w:type="dxa"/>
            <w:tcBorders>
              <w:top w:val="single" w:sz="12" w:space="0" w:color="1C4483" w:themeColor="accent1"/>
              <w:left w:val="single" w:sz="12" w:space="0" w:color="1C4483" w:themeColor="accent1"/>
              <w:bottom w:val="single" w:sz="12" w:space="0" w:color="1C4483" w:themeColor="accent1"/>
              <w:right w:val="single" w:sz="12" w:space="0" w:color="1C4483" w:themeColor="accent1"/>
            </w:tcBorders>
            <w:shd w:val="clear" w:color="auto" w:fill="E7E9EA" w:themeFill="text2" w:themeFillTint="1A"/>
            <w:tcMar>
              <w:left w:w="113" w:type="dxa"/>
              <w:right w:w="113" w:type="dxa"/>
            </w:tcMar>
          </w:tcPr>
          <w:p w14:paraId="4DA598BE" w14:textId="77777777" w:rsidR="00EA702E" w:rsidRDefault="00EA702E" w:rsidP="00EA702E">
            <w:pPr>
              <w:pStyle w:val="CalloutHeader"/>
            </w:pPr>
            <w:r w:rsidRPr="00486C00">
              <w:t>What is the difference between a risk and an impact?</w:t>
            </w:r>
          </w:p>
          <w:p w14:paraId="64E183AB" w14:textId="77777777" w:rsidR="00EA702E" w:rsidRDefault="00EA702E" w:rsidP="00EA702E">
            <w:pPr>
              <w:pStyle w:val="TableText"/>
            </w:pPr>
            <w:r>
              <w:t xml:space="preserve">A </w:t>
            </w:r>
            <w:r w:rsidRPr="0086481C">
              <w:rPr>
                <w:rStyle w:val="TextBlue"/>
              </w:rPr>
              <w:t>risk</w:t>
            </w:r>
            <w:r w:rsidRPr="006556E9">
              <w:t xml:space="preserve"> </w:t>
            </w:r>
            <w:r>
              <w:t>is the function of the likelihood of an adverse event occurring and the potential consequences of the event.</w:t>
            </w:r>
          </w:p>
          <w:p w14:paraId="2906EEF7" w14:textId="6E720F24" w:rsidR="00EA702E" w:rsidRDefault="00EA702E" w:rsidP="00EA702E">
            <w:pPr>
              <w:pStyle w:val="TableText"/>
            </w:pPr>
            <w:r>
              <w:t xml:space="preserve">An </w:t>
            </w:r>
            <w:r w:rsidRPr="0086481C">
              <w:rPr>
                <w:rStyle w:val="TextBlue"/>
              </w:rPr>
              <w:t>impact</w:t>
            </w:r>
            <w:r w:rsidRPr="0086481C">
              <w:t xml:space="preserve"> </w:t>
            </w:r>
            <w:r>
              <w:t xml:space="preserve">relates to the outcome of an event in relation to an asset, </w:t>
            </w:r>
            <w:proofErr w:type="gramStart"/>
            <w:r>
              <w:t>value</w:t>
            </w:r>
            <w:proofErr w:type="gramEnd"/>
            <w:r>
              <w:t xml:space="preserve"> or use. </w:t>
            </w:r>
          </w:p>
        </w:tc>
      </w:tr>
    </w:tbl>
    <w:p w14:paraId="4E9151B4" w14:textId="1AD27AB8" w:rsidR="00812D2B" w:rsidRPr="00E65F64" w:rsidRDefault="00812D2B" w:rsidP="00812D2B">
      <w:pPr>
        <w:pStyle w:val="BodyBullet1"/>
      </w:pPr>
      <w:r w:rsidRPr="00E65F64">
        <w:t>Assessment approach – the process for undertaking the technical reports including an assessment of existing conditions, risk assessment</w:t>
      </w:r>
      <w:r>
        <w:t xml:space="preserve"> to screen for key aspects of assessment</w:t>
      </w:r>
      <w:r w:rsidRPr="00E65F64">
        <w:t>, impact assessment</w:t>
      </w:r>
      <w:r w:rsidR="00AE2643">
        <w:t>,</w:t>
      </w:r>
      <w:r w:rsidRPr="00E65F64">
        <w:t xml:space="preserve"> development of environmental management measures</w:t>
      </w:r>
      <w:r w:rsidR="00AE2643">
        <w:t>, and identification of residual impact with the application of management and mitigation measures</w:t>
      </w:r>
      <w:r>
        <w:t xml:space="preserve">. The approach </w:t>
      </w:r>
      <w:r w:rsidRPr="00E65F64">
        <w:t>evaluate</w:t>
      </w:r>
      <w:r>
        <w:t>s</w:t>
      </w:r>
      <w:r w:rsidRPr="00E65F64">
        <w:t xml:space="preserve"> whether the Project’s effects are maintained within permissible levels and propose</w:t>
      </w:r>
      <w:r>
        <w:t>s</w:t>
      </w:r>
      <w:r w:rsidRPr="00E65F64">
        <w:t xml:space="preserve"> contingency approaches if they are not </w:t>
      </w:r>
    </w:p>
    <w:p w14:paraId="4AA61E5F" w14:textId="6AE22EEB" w:rsidR="00812D2B" w:rsidRDefault="00812D2B" w:rsidP="003F1102">
      <w:pPr>
        <w:pStyle w:val="BodyBullet1"/>
      </w:pPr>
      <w:r w:rsidRPr="00E65F64">
        <w:t>Project development – the progression of the Project design</w:t>
      </w:r>
      <w:r>
        <w:t xml:space="preserve">. </w:t>
      </w:r>
      <w:r w:rsidRPr="003A64DF">
        <w:t>Ongoing refinement of the Project</w:t>
      </w:r>
      <w:r>
        <w:t xml:space="preserve"> (including from the above assessment) </w:t>
      </w:r>
      <w:r w:rsidRPr="003A64DF">
        <w:t>is a key input to the EES as modifications to the design can lead to mitigation of environmental impacts.</w:t>
      </w:r>
    </w:p>
    <w:p w14:paraId="4281ADA8" w14:textId="3079B0F0" w:rsidR="00812D2B" w:rsidRDefault="00812D2B" w:rsidP="00812D2B">
      <w:pPr>
        <w:pStyle w:val="Heading4"/>
      </w:pPr>
      <w:bookmarkStart w:id="53" w:name="_Toc71731129"/>
      <w:bookmarkStart w:id="54" w:name="_Toc72510150"/>
      <w:bookmarkStart w:id="55" w:name="_Toc74108850"/>
      <w:r>
        <w:t>Cumulative impacts</w:t>
      </w:r>
      <w:bookmarkEnd w:id="53"/>
      <w:bookmarkEnd w:id="54"/>
      <w:bookmarkEnd w:id="55"/>
    </w:p>
    <w:p w14:paraId="5741EB00" w14:textId="278C0176" w:rsidR="00B37863" w:rsidRPr="00812D2B" w:rsidRDefault="00812D2B" w:rsidP="00812D2B">
      <w:pPr>
        <w:pStyle w:val="BodyText"/>
      </w:pPr>
      <w:r w:rsidRPr="00812D2B">
        <w:t>Cumulative impacts could arise where other major projects are constructed within the same geographic area in a similar period. These potential impacts have been addressed through the environmental impact assessment process undertaken for each technical study, as relevant. Key impacts identified within the cumulative impact assessments include those arising during construction in relation to air quality (dust), noise, ground movement and impacts to assets, access, and amenity values, as well as permanent cumulative impacts of removal of native vegetation or cultural heritage values.</w:t>
      </w:r>
      <w:r w:rsidR="00FB72CB">
        <w:t xml:space="preserve"> </w:t>
      </w:r>
      <w:r w:rsidR="00FB72CB" w:rsidRPr="00FB72CB">
        <w:t>Other projects assessed for cumulative impacts are the Outer Metropolitan Ring (OMR)</w:t>
      </w:r>
      <w:r w:rsidR="00CE5CD3">
        <w:t>/</w:t>
      </w:r>
      <w:proofErr w:type="spellStart"/>
      <w:r w:rsidR="00FB72CB" w:rsidRPr="00FB72CB">
        <w:t>E6</w:t>
      </w:r>
      <w:proofErr w:type="spellEnd"/>
      <w:r w:rsidR="00FB72CB" w:rsidRPr="00FB72CB">
        <w:t xml:space="preserve"> transport corridors project, the Sunbury Road Upgrade, the Bald-</w:t>
      </w:r>
      <w:r w:rsidR="006359DD">
        <w:t>H</w:t>
      </w:r>
      <w:r w:rsidR="00FB72CB" w:rsidRPr="00FB72CB">
        <w:t>ill–Yan Yean Pipeline and the Western Victoria Transmission Network project.</w:t>
      </w:r>
    </w:p>
    <w:p w14:paraId="422CBE5C" w14:textId="29E55D5A" w:rsidR="00B37863" w:rsidRDefault="00B37863" w:rsidP="00FC7628">
      <w:pPr>
        <w:pStyle w:val="Heading4"/>
      </w:pPr>
      <w:bookmarkStart w:id="56" w:name="_Toc71731130"/>
      <w:bookmarkStart w:id="57" w:name="_Toc72510151"/>
      <w:bookmarkStart w:id="58" w:name="_Toc74108851"/>
      <w:r>
        <w:t>Technical studies</w:t>
      </w:r>
      <w:bookmarkEnd w:id="56"/>
      <w:bookmarkEnd w:id="57"/>
      <w:bookmarkEnd w:id="58"/>
    </w:p>
    <w:p w14:paraId="48A54496" w14:textId="23549231" w:rsidR="00B37863" w:rsidRDefault="00B37863" w:rsidP="00B37863">
      <w:pPr>
        <w:pStyle w:val="BodyText"/>
      </w:pPr>
      <w:r>
        <w:t>Thirteen</w:t>
      </w:r>
      <w:r w:rsidRPr="00E65F64">
        <w:t xml:space="preserve"> specialist technical assessments evaluated the potential environmental effects of the Project. </w:t>
      </w:r>
      <w:r w:rsidRPr="00823F61">
        <w:t xml:space="preserve">An overview of the findings of each of these technical studies follows. </w:t>
      </w:r>
      <w:r w:rsidRPr="00E65F64">
        <w:t>The studies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2338"/>
        <w:gridCol w:w="2621"/>
      </w:tblGrid>
      <w:tr w:rsidR="00B37863" w14:paraId="0C46E9C8" w14:textId="77777777" w:rsidTr="00A242D4">
        <w:trPr>
          <w:trHeight w:val="1918"/>
        </w:trPr>
        <w:tc>
          <w:tcPr>
            <w:tcW w:w="4111" w:type="dxa"/>
          </w:tcPr>
          <w:p w14:paraId="0EBD17FD" w14:textId="77777777" w:rsidR="00E905E6" w:rsidRPr="00B37863" w:rsidRDefault="00B37863" w:rsidP="00CE5CD3">
            <w:pPr>
              <w:pStyle w:val="BodyBullet1"/>
              <w:spacing w:before="0"/>
            </w:pPr>
            <w:r w:rsidRPr="00E65F64">
              <w:t>Biodiversity</w:t>
            </w:r>
          </w:p>
          <w:p w14:paraId="074DFF48" w14:textId="77777777" w:rsidR="00E905E6" w:rsidRPr="00B37863" w:rsidRDefault="00E905E6" w:rsidP="00CE5CD3">
            <w:pPr>
              <w:pStyle w:val="BodyBullet1"/>
              <w:spacing w:before="0"/>
            </w:pPr>
            <w:r w:rsidRPr="00E65F64">
              <w:t>Land stability and ground movement</w:t>
            </w:r>
          </w:p>
          <w:p w14:paraId="564733BD" w14:textId="77777777" w:rsidR="00E905E6" w:rsidRPr="00B37863" w:rsidRDefault="00E905E6" w:rsidP="00CE5CD3">
            <w:pPr>
              <w:pStyle w:val="BodyBullet1"/>
              <w:spacing w:before="0"/>
            </w:pPr>
            <w:r>
              <w:t>G</w:t>
            </w:r>
            <w:r w:rsidRPr="00B37863">
              <w:t>reenhouse gas</w:t>
            </w:r>
          </w:p>
          <w:p w14:paraId="0498B78D" w14:textId="77777777" w:rsidR="00E905E6" w:rsidRPr="00B37863" w:rsidRDefault="00E905E6" w:rsidP="00CE5CD3">
            <w:pPr>
              <w:pStyle w:val="BodyBullet1"/>
              <w:spacing w:before="0"/>
            </w:pPr>
            <w:r w:rsidRPr="00E65F64">
              <w:t>Landscape and visual</w:t>
            </w:r>
          </w:p>
          <w:p w14:paraId="07450CE8" w14:textId="71C6402F" w:rsidR="00B37863" w:rsidRPr="00B37863" w:rsidRDefault="00E905E6" w:rsidP="00CE5CD3">
            <w:pPr>
              <w:pStyle w:val="BodyBullet1"/>
              <w:spacing w:before="0"/>
            </w:pPr>
            <w:r w:rsidRPr="00E65F64">
              <w:t>Safety</w:t>
            </w:r>
          </w:p>
        </w:tc>
        <w:tc>
          <w:tcPr>
            <w:tcW w:w="2338" w:type="dxa"/>
          </w:tcPr>
          <w:p w14:paraId="65100E99" w14:textId="77777777" w:rsidR="00E905E6" w:rsidRPr="00B37863" w:rsidRDefault="00B37863" w:rsidP="00CE5CD3">
            <w:pPr>
              <w:pStyle w:val="BodyBullet1"/>
              <w:spacing w:before="0"/>
            </w:pPr>
            <w:r>
              <w:t>Surface w</w:t>
            </w:r>
            <w:r w:rsidRPr="00B37863">
              <w:t>ater</w:t>
            </w:r>
          </w:p>
          <w:p w14:paraId="340CFC25" w14:textId="77777777" w:rsidR="00E905E6" w:rsidRPr="00B37863" w:rsidRDefault="00E905E6" w:rsidP="00CE5CD3">
            <w:pPr>
              <w:pStyle w:val="BodyBullet1"/>
              <w:spacing w:before="0"/>
            </w:pPr>
            <w:r w:rsidRPr="00E65F64">
              <w:t>Air quality</w:t>
            </w:r>
          </w:p>
          <w:p w14:paraId="7131D4E1" w14:textId="77777777" w:rsidR="00E905E6" w:rsidRPr="00B37863" w:rsidRDefault="00E905E6" w:rsidP="00CE5CD3">
            <w:pPr>
              <w:pStyle w:val="BodyBullet1"/>
              <w:spacing w:before="0"/>
            </w:pPr>
            <w:r w:rsidRPr="00E65F64">
              <w:t>Cultural heritage</w:t>
            </w:r>
          </w:p>
          <w:p w14:paraId="7F0CCEA9" w14:textId="1FC0B9D8" w:rsidR="00B37863" w:rsidRPr="00B37863" w:rsidRDefault="00E905E6" w:rsidP="00CE5CD3">
            <w:pPr>
              <w:pStyle w:val="BodyBullet1"/>
              <w:spacing w:before="0"/>
            </w:pPr>
            <w:r w:rsidRPr="00E65F64">
              <w:t>Land use</w:t>
            </w:r>
          </w:p>
        </w:tc>
        <w:tc>
          <w:tcPr>
            <w:tcW w:w="2621" w:type="dxa"/>
          </w:tcPr>
          <w:p w14:paraId="243A0DBF" w14:textId="77777777" w:rsidR="00E905E6" w:rsidRPr="00B37863" w:rsidRDefault="00B37863" w:rsidP="00CE5CD3">
            <w:pPr>
              <w:pStyle w:val="BodyBullet1"/>
              <w:spacing w:before="0"/>
            </w:pPr>
            <w:r>
              <w:t>Groundwater</w:t>
            </w:r>
          </w:p>
          <w:p w14:paraId="622E2B7B" w14:textId="77777777" w:rsidR="00E905E6" w:rsidRPr="00B37863" w:rsidRDefault="00E905E6" w:rsidP="00CE5CD3">
            <w:pPr>
              <w:pStyle w:val="BodyBullet1"/>
              <w:spacing w:before="0"/>
            </w:pPr>
            <w:r>
              <w:t>C</w:t>
            </w:r>
            <w:r w:rsidRPr="00B37863">
              <w:t>ontamination</w:t>
            </w:r>
          </w:p>
          <w:p w14:paraId="2046F862" w14:textId="77777777" w:rsidR="00E905E6" w:rsidRPr="00B37863" w:rsidRDefault="00E905E6" w:rsidP="00CE5CD3">
            <w:pPr>
              <w:pStyle w:val="BodyBullet1"/>
              <w:spacing w:before="0"/>
            </w:pPr>
            <w:r w:rsidRPr="00E65F64">
              <w:t>Noise and vibration</w:t>
            </w:r>
          </w:p>
          <w:p w14:paraId="296113F2" w14:textId="5DB39440" w:rsidR="00B37863" w:rsidRPr="00B37863" w:rsidRDefault="00E905E6" w:rsidP="00CE5CD3">
            <w:pPr>
              <w:pStyle w:val="BodyBullet1"/>
              <w:spacing w:before="0"/>
            </w:pPr>
            <w:r w:rsidRPr="00E65F64">
              <w:t>Social</w:t>
            </w:r>
          </w:p>
        </w:tc>
      </w:tr>
    </w:tbl>
    <w:p w14:paraId="5387FE1A" w14:textId="6676AD54" w:rsidR="0093207D" w:rsidRDefault="0093207D" w:rsidP="0093207D">
      <w:pPr>
        <w:pStyle w:val="Heading3"/>
      </w:pPr>
      <w:bookmarkStart w:id="59" w:name="_Toc71731131"/>
      <w:bookmarkStart w:id="60" w:name="_Toc72495997"/>
      <w:bookmarkStart w:id="61" w:name="_Toc72510152"/>
      <w:bookmarkStart w:id="62" w:name="_Toc74108852"/>
      <w:r>
        <w:lastRenderedPageBreak/>
        <w:t>Assessment of potential impacts</w:t>
      </w:r>
      <w:bookmarkEnd w:id="59"/>
      <w:bookmarkEnd w:id="60"/>
      <w:bookmarkEnd w:id="61"/>
      <w:bookmarkEnd w:id="62"/>
    </w:p>
    <w:p w14:paraId="10F66A1C" w14:textId="04179F71" w:rsidR="00FC7628" w:rsidRDefault="007B46A3" w:rsidP="00FC7628">
      <w:pPr>
        <w:pStyle w:val="Heading4"/>
      </w:pPr>
      <w:bookmarkStart w:id="63" w:name="_Toc71731132"/>
      <w:bookmarkStart w:id="64" w:name="_Toc72510153"/>
      <w:bookmarkStart w:id="65" w:name="_Toc74108853"/>
      <w:r>
        <w:t xml:space="preserve">Energy efficiency, security, </w:t>
      </w:r>
      <w:proofErr w:type="gramStart"/>
      <w:r>
        <w:t>affordability</w:t>
      </w:r>
      <w:proofErr w:type="gramEnd"/>
      <w:r>
        <w:t xml:space="preserve"> and</w:t>
      </w:r>
      <w:r w:rsidR="00EA702E">
        <w:t> </w:t>
      </w:r>
      <w:r>
        <w:t>safety</w:t>
      </w:r>
      <w:bookmarkEnd w:id="63"/>
      <w:bookmarkEnd w:id="64"/>
      <w:bookmarkEnd w:id="65"/>
    </w:p>
    <w:p w14:paraId="2399FD33" w14:textId="145C0B33" w:rsidR="009B6EEB" w:rsidRDefault="00940706" w:rsidP="00CE5CD3">
      <w:pPr>
        <w:pStyle w:val="BodyText"/>
      </w:pPr>
      <w:r w:rsidRPr="00E92AE0">
        <w:t xml:space="preserve">The evaluation objective outlined in the Minister’s scoping requirements for this EES in relation to </w:t>
      </w:r>
      <w:r>
        <w:t xml:space="preserve">energy efficiency, security, </w:t>
      </w:r>
      <w:proofErr w:type="gramStart"/>
      <w:r>
        <w:t>affordability</w:t>
      </w:r>
      <w:proofErr w:type="gramEnd"/>
      <w:r>
        <w:t xml:space="preserve"> and safety</w:t>
      </w:r>
      <w:r w:rsidRPr="00E92AE0">
        <w:t xml:space="preserve"> </w:t>
      </w:r>
      <w:r>
        <w:t>is</w:t>
      </w:r>
      <w:r w:rsidRPr="00E92AE0">
        <w:t xml:space="preserve"> </w:t>
      </w:r>
      <w:r w:rsidRPr="00540FAB">
        <w:t>‘to provide for safe and cost-effective pipeline connection between the eastern and western sections of the Victorian Transmission System’</w:t>
      </w:r>
      <w:r>
        <w:t>.</w:t>
      </w:r>
      <w:r w:rsidRPr="00540FAB">
        <w:t xml:space="preserve"> </w:t>
      </w:r>
      <w:r>
        <w:t>This</w:t>
      </w:r>
      <w:r w:rsidR="00EA702E">
        <w:t> </w:t>
      </w:r>
      <w:r>
        <w:t>objective was considered by</w:t>
      </w:r>
      <w:r w:rsidR="009B6EEB">
        <w:t xml:space="preserve"> the following technical reports:</w:t>
      </w:r>
    </w:p>
    <w:p w14:paraId="70A4865C" w14:textId="11BA398A" w:rsidR="009B6EEB" w:rsidRDefault="00940706" w:rsidP="009B6EEB">
      <w:pPr>
        <w:pStyle w:val="BodyBullet1"/>
      </w:pPr>
      <w:r>
        <w:t xml:space="preserve">Technical report M </w:t>
      </w:r>
      <w:r w:rsidRPr="00302B20">
        <w:rPr>
          <w:rStyle w:val="Italics"/>
        </w:rPr>
        <w:t>Safety</w:t>
      </w:r>
      <w:r w:rsidR="00CA6D6E">
        <w:rPr>
          <w:rStyle w:val="Italics"/>
        </w:rPr>
        <w:t>.</w:t>
      </w:r>
      <w:r>
        <w:t xml:space="preserve"> </w:t>
      </w:r>
      <w:r w:rsidR="00CA6D6E">
        <w:t>This report</w:t>
      </w:r>
      <w:r>
        <w:t xml:space="preserve"> identified and assessed existing conditions, risks to safety and appropriate mitigation measures for the Project </w:t>
      </w:r>
    </w:p>
    <w:p w14:paraId="1514140D" w14:textId="714799BF" w:rsidR="00940706" w:rsidRDefault="00940706" w:rsidP="009B6EEB">
      <w:pPr>
        <w:pStyle w:val="BodyBullet1"/>
      </w:pPr>
      <w:r>
        <w:t xml:space="preserve">Technical report H </w:t>
      </w:r>
      <w:r w:rsidRPr="00302B20">
        <w:rPr>
          <w:rStyle w:val="Italics"/>
        </w:rPr>
        <w:t>Greenhouse gas</w:t>
      </w:r>
      <w:r w:rsidR="00CA6D6E">
        <w:rPr>
          <w:rStyle w:val="Italics"/>
        </w:rPr>
        <w:t>.</w:t>
      </w:r>
      <w:r>
        <w:t xml:space="preserve"> </w:t>
      </w:r>
      <w:r w:rsidR="00CA6D6E">
        <w:t>This report</w:t>
      </w:r>
      <w:r>
        <w:t xml:space="preserve"> identified and assessed energy use and greenhouse gas emissions for the Project. </w:t>
      </w:r>
    </w:p>
    <w:p w14:paraId="20E81787" w14:textId="474C942E" w:rsidR="00850962" w:rsidRDefault="00850962" w:rsidP="00850962">
      <w:pPr>
        <w:pStyle w:val="Heading5"/>
      </w:pPr>
      <w:r>
        <w:t xml:space="preserve">Energy efficiency, </w:t>
      </w:r>
      <w:proofErr w:type="gramStart"/>
      <w:r>
        <w:t>security</w:t>
      </w:r>
      <w:proofErr w:type="gramEnd"/>
      <w:r>
        <w:t xml:space="preserve"> and affordability</w:t>
      </w:r>
    </w:p>
    <w:p w14:paraId="3E51F969" w14:textId="77777777" w:rsidR="00940706" w:rsidRDefault="00940706" w:rsidP="00940706">
      <w:pPr>
        <w:pStyle w:val="BodyText"/>
      </w:pPr>
      <w:r>
        <w:t xml:space="preserve">Chapter 2 </w:t>
      </w:r>
      <w:r w:rsidRPr="00302B20">
        <w:rPr>
          <w:rStyle w:val="Italics"/>
        </w:rPr>
        <w:t>Project Rationale</w:t>
      </w:r>
      <w:r>
        <w:t xml:space="preserve"> outlines the energy efficiency, </w:t>
      </w:r>
      <w:proofErr w:type="gramStart"/>
      <w:r>
        <w:t>security</w:t>
      </w:r>
      <w:proofErr w:type="gramEnd"/>
      <w:r>
        <w:t xml:space="preserve"> and affordability benefits of this connection between the eastern and western sections of the VTS. The Project responds to the forecast changes in supply source locations and would directly support the timely transfer of higher volumes of gas from the east to the west of the state. To support the operational efficiency of the new </w:t>
      </w:r>
      <w:proofErr w:type="gramStart"/>
      <w:r>
        <w:t>high pressure</w:t>
      </w:r>
      <w:proofErr w:type="gramEnd"/>
      <w:r>
        <w:t xml:space="preserve"> pipeline once it is connected to the VTS, upgrades to the Wollert C</w:t>
      </w:r>
      <w:r w:rsidRPr="001D3B9E">
        <w:t xml:space="preserve">ompressor </w:t>
      </w:r>
      <w:r>
        <w:t>S</w:t>
      </w:r>
      <w:r w:rsidRPr="001D3B9E">
        <w:t>tation are also proposed as part of the Project</w:t>
      </w:r>
      <w:r>
        <w:t xml:space="preserve">. </w:t>
      </w:r>
    </w:p>
    <w:p w14:paraId="69D9FDF2" w14:textId="77777777" w:rsidR="00940706" w:rsidRDefault="00940706" w:rsidP="00940706">
      <w:pPr>
        <w:pStyle w:val="BodyText"/>
      </w:pPr>
      <w:r>
        <w:t xml:space="preserve">The additional compressor and a regulating station proposed at Wollert would allow for increased volumes of gas (approximately an additional 100 </w:t>
      </w:r>
      <w:proofErr w:type="spellStart"/>
      <w:r>
        <w:t>Tj</w:t>
      </w:r>
      <w:proofErr w:type="spellEnd"/>
      <w:r>
        <w:t xml:space="preserve"> per day) to be compressed and transferred to the Iona Underground Storage basin. This upgrade would require significantly less compression to achieve gas transfer, compared with the current network arrangement, which depends on two or more compressor stations at Brooklyn. This efficiency significantly reduces power consumption, as well as compressor maintenance costs.</w:t>
      </w:r>
    </w:p>
    <w:p w14:paraId="6AF00DB8" w14:textId="6F37BABD" w:rsidR="00940706" w:rsidRDefault="00940706" w:rsidP="00940706">
      <w:pPr>
        <w:pStyle w:val="BodyText"/>
      </w:pPr>
      <w:r>
        <w:t>O</w:t>
      </w:r>
      <w:r w:rsidRPr="00CD4383">
        <w:t xml:space="preserve">peration of the Project is predicted </w:t>
      </w:r>
      <w:r>
        <w:t xml:space="preserve">by </w:t>
      </w:r>
      <w:proofErr w:type="spellStart"/>
      <w:r>
        <w:t>AEMO</w:t>
      </w:r>
      <w:proofErr w:type="spellEnd"/>
      <w:r>
        <w:t xml:space="preserve"> </w:t>
      </w:r>
      <w:r w:rsidRPr="00CD4383">
        <w:t>to lead to efficiency gains in the overall Victorian gas supply network, leading to a net reduction in total greenhouse gas emissions across the VTS. The net reduction in state and national emissions would equate to 10,110 t CO</w:t>
      </w:r>
      <w:r w:rsidRPr="0022553E">
        <w:rPr>
          <w:rStyle w:val="Subscript"/>
        </w:rPr>
        <w:t>2</w:t>
      </w:r>
      <w:r w:rsidRPr="00CD4383">
        <w:t xml:space="preserve">-e per annum, which </w:t>
      </w:r>
      <w:r>
        <w:t xml:space="preserve">the greenhouse gas assessment found to </w:t>
      </w:r>
      <w:r w:rsidRPr="00CD4383">
        <w:t>equate to a reduction of 0.010% and 0.002% of state and national totals respectively</w:t>
      </w:r>
      <w:r>
        <w:t xml:space="preserve">. </w:t>
      </w:r>
    </w:p>
    <w:p w14:paraId="4803E576" w14:textId="6868ACF1" w:rsidR="00850962" w:rsidRDefault="00850962" w:rsidP="00850962">
      <w:pPr>
        <w:pStyle w:val="Heading5"/>
      </w:pPr>
      <w:r>
        <w:t>Safety</w:t>
      </w:r>
    </w:p>
    <w:p w14:paraId="0E649DFA" w14:textId="111805E9" w:rsidR="00940706" w:rsidRDefault="00940706" w:rsidP="00940706">
      <w:pPr>
        <w:pStyle w:val="BodyText"/>
      </w:pPr>
      <w:r w:rsidRPr="004D1E1E">
        <w:t xml:space="preserve">A </w:t>
      </w:r>
      <w:r>
        <w:t>p</w:t>
      </w:r>
      <w:r w:rsidRPr="004D1E1E">
        <w:t xml:space="preserve">ipeline </w:t>
      </w:r>
      <w:r>
        <w:t>l</w:t>
      </w:r>
      <w:r w:rsidRPr="004D1E1E">
        <w:t xml:space="preserve">icence </w:t>
      </w:r>
      <w:r>
        <w:t>is</w:t>
      </w:r>
      <w:r w:rsidRPr="004D1E1E">
        <w:t xml:space="preserve"> required for the </w:t>
      </w:r>
      <w:r>
        <w:t>p</w:t>
      </w:r>
      <w:r w:rsidRPr="004D1E1E">
        <w:t xml:space="preserve">ipeline </w:t>
      </w:r>
      <w:r>
        <w:t>w</w:t>
      </w:r>
      <w:r w:rsidRPr="004D1E1E">
        <w:t xml:space="preserve">orks under the Pipelines Act. </w:t>
      </w:r>
      <w:r>
        <w:t>L</w:t>
      </w:r>
      <w:r w:rsidRPr="004D1E1E">
        <w:t xml:space="preserve">icensed pipelines </w:t>
      </w:r>
      <w:r>
        <w:t>are</w:t>
      </w:r>
      <w:r w:rsidRPr="004D1E1E">
        <w:t xml:space="preserve"> to be constructed and operated safely in accordance with </w:t>
      </w:r>
      <w:r>
        <w:t>the Pipelines Act and the requirements in</w:t>
      </w:r>
      <w:r w:rsidRPr="004D1E1E">
        <w:t xml:space="preserve"> </w:t>
      </w:r>
      <w:bookmarkStart w:id="66" w:name="_Hlk68166213"/>
      <w:r>
        <w:t>AS/NZS</w:t>
      </w:r>
      <w:r w:rsidRPr="004D1E1E">
        <w:t xml:space="preserve"> 2885</w:t>
      </w:r>
      <w:bookmarkEnd w:id="66"/>
      <w:r w:rsidRPr="004D1E1E">
        <w:t>.</w:t>
      </w:r>
      <w:r w:rsidRPr="00434067">
        <w:t xml:space="preserve"> </w:t>
      </w:r>
      <w:r>
        <w:t>This standard</w:t>
      </w:r>
      <w:r w:rsidRPr="00434067">
        <w:t xml:space="preserve"> </w:t>
      </w:r>
      <w:r>
        <w:t xml:space="preserve">requires that </w:t>
      </w:r>
      <w:r w:rsidRPr="00434067">
        <w:t>the integrity of the pipeline is maintained throughout the operation phase of the Project.</w:t>
      </w:r>
      <w:r>
        <w:t xml:space="preserve"> Under the Pipelines Act, t</w:t>
      </w:r>
      <w:r w:rsidRPr="004D1E1E">
        <w:t xml:space="preserve">he pipeline licensee </w:t>
      </w:r>
      <w:r>
        <w:t>has a general duty</w:t>
      </w:r>
      <w:r w:rsidRPr="004D1E1E">
        <w:t xml:space="preserve"> to implement a range of safety measures to reduce foreseeable risks associated with operating a pipeline and to minimise, </w:t>
      </w:r>
      <w:r>
        <w:t>so</w:t>
      </w:r>
      <w:r w:rsidRPr="004D1E1E">
        <w:t xml:space="preserve"> far as is reasonably practicable</w:t>
      </w:r>
      <w:r>
        <w:t xml:space="preserve"> (</w:t>
      </w:r>
      <w:proofErr w:type="spellStart"/>
      <w:r>
        <w:t>SFAIRP</w:t>
      </w:r>
      <w:proofErr w:type="spellEnd"/>
      <w:r>
        <w:t>)</w:t>
      </w:r>
      <w:r w:rsidRPr="004D1E1E">
        <w:t>, hazards and risks to public</w:t>
      </w:r>
      <w:r w:rsidR="00EA702E">
        <w:t> </w:t>
      </w:r>
      <w:r>
        <w:t>safety</w:t>
      </w:r>
      <w:r w:rsidRPr="004D1E1E">
        <w:t>.</w:t>
      </w:r>
      <w:r>
        <w:t xml:space="preserve"> </w:t>
      </w:r>
    </w:p>
    <w:p w14:paraId="14A24C40" w14:textId="065EF6D3" w:rsidR="00940706" w:rsidRPr="00DC7B79" w:rsidRDefault="00940706" w:rsidP="00940706">
      <w:pPr>
        <w:pStyle w:val="BodyText"/>
      </w:pPr>
      <w:r>
        <w:lastRenderedPageBreak/>
        <w:t>As part of a Safety Management Study (SMS), p</w:t>
      </w:r>
      <w:r w:rsidRPr="00251ED3">
        <w:t xml:space="preserve">otential threats to safety were assessed </w:t>
      </w:r>
      <w:proofErr w:type="gramStart"/>
      <w:r w:rsidRPr="00251ED3">
        <w:t>taking into account</w:t>
      </w:r>
      <w:proofErr w:type="gramEnd"/>
      <w:r w:rsidRPr="00251ED3">
        <w:t xml:space="preserve"> a location analysis. The </w:t>
      </w:r>
      <w:r w:rsidRPr="00DC7B79">
        <w:t xml:space="preserve">location </w:t>
      </w:r>
      <w:r w:rsidRPr="00251ED3">
        <w:t>analysis classified land use</w:t>
      </w:r>
      <w:r w:rsidRPr="00DC7B79">
        <w:t xml:space="preserve"> based on population density and</w:t>
      </w:r>
      <w:r>
        <w:t xml:space="preserve"> </w:t>
      </w:r>
      <w:r w:rsidRPr="002C2973">
        <w:t>existing and reasonably foreseeable</w:t>
      </w:r>
      <w:r w:rsidRPr="00DC7B79">
        <w:t xml:space="preserve"> land use</w:t>
      </w:r>
      <w:r>
        <w:t>s</w:t>
      </w:r>
      <w:r w:rsidR="00120DCF">
        <w:t xml:space="preserve"> within the pipeline Measurement Length (being 659 metres from the centreline of the pipeline alignment)</w:t>
      </w:r>
      <w:r w:rsidRPr="00251ED3">
        <w:t>.</w:t>
      </w:r>
      <w:r>
        <w:t xml:space="preserve"> This </w:t>
      </w:r>
      <w:r w:rsidRPr="00251ED3">
        <w:t>informed</w:t>
      </w:r>
      <w:r w:rsidRPr="00DC7B79">
        <w:t xml:space="preserve"> the risk assessment and </w:t>
      </w:r>
      <w:r w:rsidRPr="00251ED3">
        <w:t>proposed</w:t>
      </w:r>
      <w:r w:rsidR="00EA702E">
        <w:t> </w:t>
      </w:r>
      <w:r w:rsidRPr="00DC7B79">
        <w:t xml:space="preserve">engineering and </w:t>
      </w:r>
      <w:r w:rsidRPr="00251ED3">
        <w:t>procedure</w:t>
      </w:r>
      <w:r w:rsidRPr="00DC7B79">
        <w:t xml:space="preserve"> control measures</w:t>
      </w:r>
      <w:r w:rsidRPr="00251ED3">
        <w:t>.</w:t>
      </w:r>
      <w:r>
        <w:t xml:space="preserve"> </w:t>
      </w:r>
      <w:r w:rsidRPr="00DC7B79">
        <w:t xml:space="preserve">Approximately </w:t>
      </w:r>
      <w:r>
        <w:t xml:space="preserve">40 percent </w:t>
      </w:r>
      <w:r w:rsidRPr="00DC7B79">
        <w:t xml:space="preserve">of the </w:t>
      </w:r>
      <w:r>
        <w:t>Project</w:t>
      </w:r>
      <w:r w:rsidRPr="00DC7B79">
        <w:t xml:space="preserve"> is in</w:t>
      </w:r>
      <w:r>
        <w:t>side</w:t>
      </w:r>
      <w:r w:rsidRPr="00DC7B79">
        <w:t xml:space="preserve"> the Urban Growth Boundary</w:t>
      </w:r>
      <w:r>
        <w:t>, with t</w:t>
      </w:r>
      <w:r w:rsidRPr="00DC7B79">
        <w:t xml:space="preserve">he primary location classification </w:t>
      </w:r>
      <w:r>
        <w:t>being</w:t>
      </w:r>
      <w:r w:rsidRPr="00DC7B79">
        <w:t xml:space="preserve"> Residential.</w:t>
      </w:r>
      <w:r>
        <w:t xml:space="preserve"> </w:t>
      </w:r>
      <w:r w:rsidRPr="00DC7B79">
        <w:t>The</w:t>
      </w:r>
      <w:r w:rsidR="00EA702E">
        <w:t> </w:t>
      </w:r>
      <w:r w:rsidRPr="00DC7B79">
        <w:t xml:space="preserve">remaining </w:t>
      </w:r>
      <w:r>
        <w:t xml:space="preserve">60 percent </w:t>
      </w:r>
      <w:r w:rsidRPr="00DC7B79">
        <w:t xml:space="preserve">of the </w:t>
      </w:r>
      <w:r>
        <w:t>Project is located</w:t>
      </w:r>
      <w:r w:rsidRPr="00DC7B79">
        <w:t xml:space="preserve"> outside of the Urban Growth Boundary</w:t>
      </w:r>
      <w:r>
        <w:t xml:space="preserve"> on land </w:t>
      </w:r>
      <w:r w:rsidRPr="0067130A">
        <w:t>primarily used for grazing and croppin</w:t>
      </w:r>
      <w:r>
        <w:t>g, which has</w:t>
      </w:r>
      <w:r w:rsidRPr="00DC7B79">
        <w:t xml:space="preserve"> a location classification of Rural</w:t>
      </w:r>
      <w:r>
        <w:t>, with some Rural-residential or Residential</w:t>
      </w:r>
      <w:r w:rsidRPr="0061643F">
        <w:t>.</w:t>
      </w:r>
    </w:p>
    <w:p w14:paraId="3153E2E8" w14:textId="77777777" w:rsidR="00940706" w:rsidRPr="007A5797" w:rsidRDefault="00940706" w:rsidP="00CE5CD3">
      <w:pPr>
        <w:pStyle w:val="BodyText"/>
      </w:pPr>
      <w:r>
        <w:t>A</w:t>
      </w:r>
      <w:r w:rsidRPr="007A5797">
        <w:t xml:space="preserve">ll safety hazards </w:t>
      </w:r>
      <w:r>
        <w:t>were assessed as having a</w:t>
      </w:r>
      <w:r w:rsidRPr="007A5797">
        <w:t xml:space="preserve"> residual risk </w:t>
      </w:r>
      <w:r>
        <w:t>rating</w:t>
      </w:r>
      <w:r w:rsidRPr="007A5797">
        <w:t xml:space="preserve"> of </w:t>
      </w:r>
      <w:r>
        <w:t>low</w:t>
      </w:r>
      <w:r w:rsidRPr="007A5797">
        <w:t xml:space="preserve"> or below. The mitigation controls planned to be implemented by APA were identified</w:t>
      </w:r>
      <w:r>
        <w:t xml:space="preserve"> and </w:t>
      </w:r>
      <w:r w:rsidRPr="007A5797">
        <w:t xml:space="preserve">additional mitigation recommendations have been </w:t>
      </w:r>
      <w:r>
        <w:t>introduced</w:t>
      </w:r>
      <w:r w:rsidRPr="007A5797">
        <w:t xml:space="preserve"> to further reduce risks so far as is reasonably practicable. </w:t>
      </w:r>
      <w:bookmarkStart w:id="67" w:name="_Hlk63935975"/>
      <w:r w:rsidRPr="007A5797">
        <w:t>Additional risk mitigation measures w</w:t>
      </w:r>
      <w:r>
        <w:t>ould</w:t>
      </w:r>
      <w:r w:rsidRPr="007A5797">
        <w:t xml:space="preserve"> continue to be identified by </w:t>
      </w:r>
      <w:r>
        <w:t>APA</w:t>
      </w:r>
      <w:r w:rsidRPr="007A5797">
        <w:t xml:space="preserve"> and implemented to continue reducing risks to </w:t>
      </w:r>
      <w:r>
        <w:t>so</w:t>
      </w:r>
      <w:r w:rsidRPr="004D1E1E">
        <w:t xml:space="preserve"> far as is reasonably practicable</w:t>
      </w:r>
      <w:r w:rsidRPr="007A5797">
        <w:t>.</w:t>
      </w:r>
      <w:bookmarkEnd w:id="67"/>
    </w:p>
    <w:p w14:paraId="7A34A5D6" w14:textId="46B74A61" w:rsidR="00940706" w:rsidRDefault="00940706" w:rsidP="00940706">
      <w:pPr>
        <w:pStyle w:val="BodyText"/>
      </w:pPr>
      <w:r>
        <w:t>The key safety risk identified in the construction phase is from fire, starting either within or outside the construction corridor. Other risks include</w:t>
      </w:r>
      <w:r w:rsidRPr="003C7110">
        <w:t xml:space="preserve"> human factor errors taking place </w:t>
      </w:r>
      <w:r>
        <w:t>in the management of blasting activities</w:t>
      </w:r>
      <w:r w:rsidR="009C4839">
        <w:t xml:space="preserve"> (if required for the removal of very hard rock)</w:t>
      </w:r>
      <w:r>
        <w:t xml:space="preserve"> resulting in impacts on workers or the </w:t>
      </w:r>
      <w:proofErr w:type="gramStart"/>
      <w:r>
        <w:t>general public</w:t>
      </w:r>
      <w:proofErr w:type="gramEnd"/>
      <w:r>
        <w:t xml:space="preserve">; the likelihood of this </w:t>
      </w:r>
      <w:r w:rsidRPr="003C7110">
        <w:t>is rare</w:t>
      </w:r>
      <w:r>
        <w:t xml:space="preserve"> and therefore the</w:t>
      </w:r>
      <w:r w:rsidRPr="003C7110">
        <w:t xml:space="preserve"> </w:t>
      </w:r>
      <w:r>
        <w:t xml:space="preserve">residual </w:t>
      </w:r>
      <w:r w:rsidRPr="003C7110">
        <w:t xml:space="preserve">risk </w:t>
      </w:r>
      <w:r>
        <w:t>is</w:t>
      </w:r>
      <w:r w:rsidRPr="003C7110">
        <w:t xml:space="preserve"> low</w:t>
      </w:r>
      <w:r>
        <w:t xml:space="preserve">. </w:t>
      </w:r>
    </w:p>
    <w:p w14:paraId="50CAEE7D" w14:textId="77777777" w:rsidR="00940706" w:rsidRDefault="00940706" w:rsidP="00940706">
      <w:pPr>
        <w:pStyle w:val="BodyText"/>
      </w:pPr>
      <w:r w:rsidRPr="007A5797">
        <w:t xml:space="preserve">The residual risks during construction would be controlled using emergency response plans that are developed by the construction contractor </w:t>
      </w:r>
      <w:r>
        <w:t xml:space="preserve">with specific controls </w:t>
      </w:r>
      <w:r w:rsidRPr="007A5797">
        <w:t xml:space="preserve">for risks such as bushfires, and other </w:t>
      </w:r>
      <w:r>
        <w:t xml:space="preserve">low likelihood </w:t>
      </w:r>
      <w:r w:rsidRPr="007A5797">
        <w:t xml:space="preserve">construction related </w:t>
      </w:r>
      <w:r>
        <w:t>risks</w:t>
      </w:r>
      <w:r w:rsidRPr="007A5797">
        <w:t xml:space="preserve"> associated with the management of hazardous materials, blasting and vehicle movement. </w:t>
      </w:r>
      <w:r>
        <w:t xml:space="preserve">A blast management plan would be developed and provide a detailed approach to blasting including impact and exclusion zones based on the contractor's methodology. </w:t>
      </w:r>
    </w:p>
    <w:p w14:paraId="142C130B" w14:textId="7DE1BD49" w:rsidR="00940706" w:rsidRDefault="00940706" w:rsidP="00940706">
      <w:pPr>
        <w:pStyle w:val="BodyText"/>
      </w:pPr>
      <w:r>
        <w:t>The key credible threats in the operation phase relate to e</w:t>
      </w:r>
      <w:r w:rsidRPr="0039682B">
        <w:t xml:space="preserve">xternal </w:t>
      </w:r>
      <w:r>
        <w:t>impact, n</w:t>
      </w:r>
      <w:r w:rsidRPr="00496A2D">
        <w:t>atural events</w:t>
      </w:r>
      <w:r w:rsidRPr="00952F48">
        <w:t xml:space="preserve"> and geohazards</w:t>
      </w:r>
      <w:r>
        <w:t xml:space="preserve">, intentional damage and external impact from operation of machinery. Bushfire is also a risk in the operation phase. </w:t>
      </w:r>
    </w:p>
    <w:p w14:paraId="79E35A78" w14:textId="58F668EA" w:rsidR="00940706" w:rsidRDefault="00940706" w:rsidP="00940706">
      <w:pPr>
        <w:pStyle w:val="BodyText"/>
      </w:pPr>
      <w:r>
        <w:t xml:space="preserve">As a result of design requirements in </w:t>
      </w:r>
      <w:r w:rsidRPr="008642FB">
        <w:t>AS/NZS 2885.1</w:t>
      </w:r>
      <w:r>
        <w:t xml:space="preserve"> </w:t>
      </w:r>
      <w:r w:rsidRPr="008642FB">
        <w:t>(</w:t>
      </w:r>
      <w:r>
        <w:t>for example,</w:t>
      </w:r>
      <w:r w:rsidRPr="008642FB">
        <w:t xml:space="preserve"> wall thickness and depth of cover)</w:t>
      </w:r>
      <w:r>
        <w:t xml:space="preserve"> and e</w:t>
      </w:r>
      <w:r w:rsidRPr="0064755C">
        <w:t>ngineering controls such as the layout and design of the infrastructure in compliance with the relevant codes, technical standards, and industry best practice</w:t>
      </w:r>
      <w:r>
        <w:t>, the risks of gas release and/or ignition</w:t>
      </w:r>
      <w:r w:rsidR="00EA702E">
        <w:t> </w:t>
      </w:r>
      <w:r>
        <w:t xml:space="preserve">through rupture </w:t>
      </w:r>
      <w:r w:rsidRPr="00C35B1C">
        <w:t xml:space="preserve">is not </w:t>
      </w:r>
      <w:r>
        <w:t xml:space="preserve">considered </w:t>
      </w:r>
      <w:r w:rsidRPr="00C35B1C">
        <w:t>a credible failure</w:t>
      </w:r>
      <w:r>
        <w:t>.</w:t>
      </w:r>
      <w:r w:rsidRPr="00C35B1C">
        <w:t xml:space="preserve"> </w:t>
      </w:r>
      <w:r w:rsidR="00120DCF">
        <w:t>The Area of Consequence is therefore reduced from the full Measurement Length to 65 metres each side of the pipeline. APA would continue</w:t>
      </w:r>
      <w:r w:rsidR="00EA702E">
        <w:t> </w:t>
      </w:r>
      <w:r w:rsidR="00120DCF">
        <w:t>to monitor any proposals for sensitive uses proposed within this area during the operational life of the pipeline.</w:t>
      </w:r>
    </w:p>
    <w:p w14:paraId="2212A6C1" w14:textId="77777777" w:rsidR="00940706" w:rsidRDefault="00940706" w:rsidP="00940706">
      <w:pPr>
        <w:pStyle w:val="BodyText"/>
      </w:pPr>
      <w:r>
        <w:t>R</w:t>
      </w:r>
      <w:r w:rsidRPr="007A5797">
        <w:t>esidual</w:t>
      </w:r>
      <w:r>
        <w:t xml:space="preserve"> bushfire</w:t>
      </w:r>
      <w:r w:rsidRPr="007A5797">
        <w:t xml:space="preserve"> risks </w:t>
      </w:r>
      <w:r>
        <w:t>would</w:t>
      </w:r>
      <w:r w:rsidRPr="007A5797">
        <w:t xml:space="preserve"> be managed by APA’s emergency response procedures</w:t>
      </w:r>
      <w:r>
        <w:t xml:space="preserve"> and Bushfire Management Action Plan</w:t>
      </w:r>
      <w:r w:rsidRPr="007A5797">
        <w:t>.</w:t>
      </w:r>
      <w:r>
        <w:t xml:space="preserve"> </w:t>
      </w:r>
    </w:p>
    <w:p w14:paraId="21731DF9" w14:textId="3B72C7EA" w:rsidR="0093207D" w:rsidRPr="0093207D" w:rsidRDefault="00940706" w:rsidP="0093207D">
      <w:pPr>
        <w:pStyle w:val="BodyText"/>
      </w:pPr>
      <w:r>
        <w:t xml:space="preserve">Mitigation measures would be applied through design and Project </w:t>
      </w:r>
      <w:r w:rsidRPr="005C7F86">
        <w:t>management measures</w:t>
      </w:r>
      <w:r w:rsidRPr="00384A82">
        <w:t xml:space="preserve">, </w:t>
      </w:r>
      <w:r>
        <w:t xml:space="preserve">to reduce </w:t>
      </w:r>
      <w:r w:rsidRPr="00384A82">
        <w:t xml:space="preserve">potential </w:t>
      </w:r>
      <w:r>
        <w:t xml:space="preserve">safety </w:t>
      </w:r>
      <w:r w:rsidRPr="00384A82">
        <w:t>hazard</w:t>
      </w:r>
      <w:r>
        <w:t>s</w:t>
      </w:r>
      <w:r w:rsidRPr="00384A82">
        <w:t xml:space="preserve"> during Project construction and operation to people, property and the environment so far as is reasonably practicable.</w:t>
      </w:r>
      <w:r>
        <w:t xml:space="preserve"> The Project would be compliant with the energy release rate limits within </w:t>
      </w:r>
      <w:r w:rsidRPr="000C5D92">
        <w:t>AS/NZS 2885.1</w:t>
      </w:r>
      <w:r w:rsidRPr="00384A82">
        <w:t>.</w:t>
      </w:r>
    </w:p>
    <w:p w14:paraId="4AFFF1D2" w14:textId="184477E0" w:rsidR="007B46A3" w:rsidRDefault="007B46A3" w:rsidP="007B46A3">
      <w:pPr>
        <w:pStyle w:val="Heading4"/>
      </w:pPr>
      <w:bookmarkStart w:id="68" w:name="_Toc71731133"/>
      <w:bookmarkStart w:id="69" w:name="_Toc72510154"/>
      <w:bookmarkStart w:id="70" w:name="_Toc74108854"/>
      <w:r>
        <w:lastRenderedPageBreak/>
        <w:t>Biodiversity and habitats</w:t>
      </w:r>
      <w:bookmarkEnd w:id="68"/>
      <w:bookmarkEnd w:id="69"/>
      <w:bookmarkEnd w:id="70"/>
    </w:p>
    <w:p w14:paraId="7CA11A3A" w14:textId="77777777" w:rsidR="009B45BC" w:rsidRDefault="00EF37F0" w:rsidP="009B45BC">
      <w:pPr>
        <w:pStyle w:val="BodyText"/>
      </w:pPr>
      <w:r w:rsidRPr="00540FAB">
        <w:t xml:space="preserve">The evaluation objective outlined in the Minister’s scoping requirements for this EES in relation to biodiversity </w:t>
      </w:r>
      <w:r>
        <w:t xml:space="preserve">and </w:t>
      </w:r>
      <w:r w:rsidRPr="00E65F64">
        <w:t>Matters of National Environmental Significance (</w:t>
      </w:r>
      <w:proofErr w:type="spellStart"/>
      <w:r w:rsidRPr="00E65F64">
        <w:t>MNES</w:t>
      </w:r>
      <w:proofErr w:type="spellEnd"/>
      <w:r w:rsidRPr="00E65F64">
        <w:t>)</w:t>
      </w:r>
      <w:r w:rsidRPr="00E92AE0">
        <w:t xml:space="preserve"> </w:t>
      </w:r>
      <w:r>
        <w:t>is</w:t>
      </w:r>
      <w:r w:rsidRPr="00540FAB">
        <w:t xml:space="preserve"> ‘to avoid and minimise potential adverse effects on native vegetation, listed threatened and migratory species and ecological communities, and habitat for these species, as well as restore and offset residual environmental effects consistent with state and Commonwealth </w:t>
      </w:r>
      <w:proofErr w:type="gramStart"/>
      <w:r w:rsidRPr="00540FAB">
        <w:t>policies’</w:t>
      </w:r>
      <w:proofErr w:type="gramEnd"/>
      <w:r w:rsidRPr="00540FAB">
        <w:t>.</w:t>
      </w:r>
      <w:r w:rsidR="009B45BC">
        <w:t xml:space="preserve"> This objective was considered and assessed by:</w:t>
      </w:r>
    </w:p>
    <w:p w14:paraId="4B781689" w14:textId="2716836C" w:rsidR="009B45BC" w:rsidRDefault="009B45BC" w:rsidP="009B45BC">
      <w:pPr>
        <w:pStyle w:val="BodyBullet1"/>
      </w:pPr>
      <w:r>
        <w:t xml:space="preserve">Technical report A </w:t>
      </w:r>
      <w:r w:rsidRPr="00302B20">
        <w:rPr>
          <w:rStyle w:val="Italics"/>
        </w:rPr>
        <w:t>Biodiversity and habitats</w:t>
      </w:r>
      <w:r>
        <w:t>. This report includes an assessment of Matters of National Environmental Significance (</w:t>
      </w:r>
      <w:proofErr w:type="spellStart"/>
      <w:r>
        <w:t>MNES</w:t>
      </w:r>
      <w:proofErr w:type="spellEnd"/>
      <w:r>
        <w:t>) under Commonwealth policies which is</w:t>
      </w:r>
      <w:r w:rsidDel="00F765DA">
        <w:t xml:space="preserve"> </w:t>
      </w:r>
      <w:r>
        <w:t>summarised in Chapter 1</w:t>
      </w:r>
      <w:r w:rsidR="000B2940">
        <w:t>8</w:t>
      </w:r>
      <w:r>
        <w:t xml:space="preserve"> </w:t>
      </w:r>
      <w:proofErr w:type="spellStart"/>
      <w:r w:rsidRPr="00302B20">
        <w:rPr>
          <w:rStyle w:val="Italics"/>
        </w:rPr>
        <w:t>MNES</w:t>
      </w:r>
      <w:proofErr w:type="spellEnd"/>
    </w:p>
    <w:p w14:paraId="590567B3" w14:textId="7D8638CC" w:rsidR="009B45BC" w:rsidRDefault="009B45BC" w:rsidP="009B45BC">
      <w:pPr>
        <w:pStyle w:val="BodyBullet1"/>
      </w:pPr>
      <w:r>
        <w:t xml:space="preserve">Technical report G </w:t>
      </w:r>
      <w:r w:rsidRPr="00302B20">
        <w:rPr>
          <w:rStyle w:val="Italics"/>
        </w:rPr>
        <w:t>Air quality</w:t>
      </w:r>
      <w:r>
        <w:t>. This report considers potential impacts of dust on biodiversity and</w:t>
      </w:r>
      <w:r w:rsidR="00EA702E">
        <w:t> </w:t>
      </w:r>
      <w:r>
        <w:t>habitats</w:t>
      </w:r>
    </w:p>
    <w:p w14:paraId="0EEB278C" w14:textId="275FE543" w:rsidR="00EF37F0" w:rsidRDefault="009B45BC" w:rsidP="003F1102">
      <w:pPr>
        <w:pStyle w:val="BodyBullet1"/>
      </w:pPr>
      <w:r>
        <w:t xml:space="preserve">Technical report F </w:t>
      </w:r>
      <w:r w:rsidRPr="00302B20">
        <w:rPr>
          <w:rStyle w:val="Italics"/>
        </w:rPr>
        <w:t>Noise and vibration</w:t>
      </w:r>
      <w:r>
        <w:rPr>
          <w:rStyle w:val="Italics"/>
        </w:rPr>
        <w:t xml:space="preserve">. </w:t>
      </w:r>
      <w:r w:rsidRPr="006711E8">
        <w:rPr>
          <w:rStyle w:val="Removedirectformatting"/>
        </w:rPr>
        <w:t xml:space="preserve">This report provides inputs for consideration of noise or vibration impacts on biodiversity and habitats. </w:t>
      </w:r>
    </w:p>
    <w:p w14:paraId="6E58D117" w14:textId="69C6B2CB" w:rsidR="00EF37F0" w:rsidRDefault="009B45BC" w:rsidP="00EF37F0">
      <w:pPr>
        <w:pStyle w:val="Heading5"/>
      </w:pPr>
      <w:r>
        <w:t>Biodiversity e</w:t>
      </w:r>
      <w:r w:rsidR="00EF37F0">
        <w:t>xisting conditions</w:t>
      </w:r>
    </w:p>
    <w:tbl>
      <w:tblPr>
        <w:tblW w:w="0" w:type="auto"/>
        <w:tblLayout w:type="fixed"/>
        <w:tblLook w:val="04A0" w:firstRow="1" w:lastRow="0" w:firstColumn="1" w:lastColumn="0" w:noHBand="0" w:noVBand="1"/>
      </w:tblPr>
      <w:tblGrid>
        <w:gridCol w:w="4678"/>
        <w:gridCol w:w="4392"/>
      </w:tblGrid>
      <w:tr w:rsidR="00EA702E" w14:paraId="4A9107C0" w14:textId="77777777" w:rsidTr="004D519B">
        <w:trPr>
          <w:cantSplit/>
        </w:trPr>
        <w:tc>
          <w:tcPr>
            <w:tcW w:w="4678" w:type="dxa"/>
            <w:tcMar>
              <w:left w:w="0" w:type="dxa"/>
              <w:right w:w="284" w:type="dxa"/>
            </w:tcMar>
          </w:tcPr>
          <w:p w14:paraId="7F573CAA" w14:textId="77777777" w:rsidR="00EA702E" w:rsidRDefault="00EA702E" w:rsidP="00EA702E">
            <w:pPr>
              <w:pStyle w:val="BodyText"/>
              <w:spacing w:before="0"/>
            </w:pPr>
            <w:r w:rsidRPr="00DF0F7D">
              <w:t xml:space="preserve">Native vegetation within the construction corridor is generally degraded and fragmented, reflecting the area’s long history of agricultural land use, and more recently urban development. </w:t>
            </w:r>
            <w:r>
              <w:t>V</w:t>
            </w:r>
            <w:r w:rsidRPr="00DF0F7D">
              <w:t xml:space="preserve">egetation is dominated by pasture grasses and in some </w:t>
            </w:r>
            <w:proofErr w:type="gramStart"/>
            <w:r w:rsidRPr="00DF0F7D">
              <w:t>areas</w:t>
            </w:r>
            <w:proofErr w:type="gramEnd"/>
            <w:r w:rsidRPr="00DF0F7D">
              <w:t xml:space="preserve"> extensive tracts of noxious weeds. Shelterbelts and windbreaks are common and mostly consist of species that are not indigenous to Victoria.</w:t>
            </w:r>
          </w:p>
          <w:p w14:paraId="042EBFC5" w14:textId="0255911E" w:rsidR="00EA702E" w:rsidRDefault="00EA702E" w:rsidP="00EA702E">
            <w:pPr>
              <w:pStyle w:val="BodyText"/>
            </w:pPr>
            <w:r w:rsidRPr="00E65F64">
              <w:t>15.32 h</w:t>
            </w:r>
            <w:r w:rsidR="005A15D0">
              <w:t>ectares</w:t>
            </w:r>
            <w:r w:rsidRPr="00E65F64">
              <w:t xml:space="preserve"> of native vegetation was mapped within the construction</w:t>
            </w:r>
            <w:r w:rsidRPr="00E65F64" w:rsidDel="000E4F69">
              <w:t xml:space="preserve"> </w:t>
            </w:r>
            <w:r w:rsidRPr="00E65F64">
              <w:t>corridor with 141 flora (86 native, 55</w:t>
            </w:r>
            <w:r w:rsidR="00375E98">
              <w:t> </w:t>
            </w:r>
            <w:r w:rsidRPr="00E65F64">
              <w:t xml:space="preserve">introduced) species. </w:t>
            </w:r>
            <w:r>
              <w:t>Of these, t</w:t>
            </w:r>
            <w:r w:rsidRPr="004B0E4D">
              <w:t>he extent of native vegetation patches surveyed outside the</w:t>
            </w:r>
            <w:r>
              <w:t xml:space="preserve"> Melbourne Strategic Assessment</w:t>
            </w:r>
            <w:r w:rsidRPr="004B0E4D">
              <w:t xml:space="preserve"> </w:t>
            </w:r>
            <w:r>
              <w:t>(</w:t>
            </w:r>
            <w:proofErr w:type="spellStart"/>
            <w:r>
              <w:t>MSA</w:t>
            </w:r>
            <w:proofErr w:type="spellEnd"/>
            <w:r>
              <w:t>)</w:t>
            </w:r>
            <w:r w:rsidRPr="004B0E4D">
              <w:t xml:space="preserve"> was </w:t>
            </w:r>
            <w:r w:rsidR="001611E9">
              <w:t>13.39</w:t>
            </w:r>
            <w:r w:rsidRPr="004B0E4D">
              <w:t xml:space="preserve"> </w:t>
            </w:r>
            <w:r w:rsidR="005A15D0">
              <w:t>hectares</w:t>
            </w:r>
            <w:r w:rsidR="005A15D0" w:rsidRPr="004B0E4D">
              <w:t xml:space="preserve"> </w:t>
            </w:r>
            <w:r w:rsidRPr="004B0E4D">
              <w:t>and ranged in condition from low to</w:t>
            </w:r>
            <w:r w:rsidR="004D519B">
              <w:t> </w:t>
            </w:r>
            <w:r w:rsidRPr="004B0E4D">
              <w:t>moderate.</w:t>
            </w:r>
          </w:p>
        </w:tc>
        <w:tc>
          <w:tcPr>
            <w:tcW w:w="4392" w:type="dxa"/>
            <w:tcMar>
              <w:left w:w="0" w:type="dxa"/>
              <w:right w:w="0" w:type="dxa"/>
            </w:tcMar>
          </w:tcPr>
          <w:p w14:paraId="308C4ED5" w14:textId="314A48F5" w:rsidR="00EA702E" w:rsidRPr="00EA702E" w:rsidRDefault="00EA702E" w:rsidP="00EA702E">
            <w:pPr>
              <w:pStyle w:val="Caption"/>
              <w:spacing w:before="0"/>
            </w:pPr>
            <w:r w:rsidRPr="00EA702E">
              <w:t>Figure</w:t>
            </w:r>
            <w:r w:rsidR="00D50E2E">
              <w:t> </w:t>
            </w:r>
            <w:r w:rsidR="00113B39">
              <w:fldChar w:fldCharType="begin"/>
            </w:r>
            <w:r w:rsidR="00113B39">
              <w:instrText xml:space="preserve"> SEQ Figure \* ARABIC </w:instrText>
            </w:r>
            <w:r w:rsidR="00113B39">
              <w:fldChar w:fldCharType="separate"/>
            </w:r>
            <w:r w:rsidR="00E94BD2">
              <w:rPr>
                <w:noProof/>
              </w:rPr>
              <w:t>5</w:t>
            </w:r>
            <w:r w:rsidR="00113B39">
              <w:rPr>
                <w:noProof/>
              </w:rPr>
              <w:fldChar w:fldCharType="end"/>
            </w:r>
            <w:r w:rsidRPr="00EA702E">
              <w:tab/>
              <w:t>Patches of grassland</w:t>
            </w:r>
          </w:p>
          <w:p w14:paraId="0C163236" w14:textId="2256E44D" w:rsidR="00EA702E" w:rsidRDefault="00EA702E" w:rsidP="000B2940">
            <w:pPr>
              <w:pStyle w:val="BodyTextSingleSpacing"/>
            </w:pPr>
            <w:r w:rsidRPr="00EF37F0">
              <w:rPr>
                <w:noProof/>
              </w:rPr>
              <w:drawing>
                <wp:inline distT="0" distB="0" distL="0" distR="0" wp14:anchorId="7A812274" wp14:editId="4CF9E5C6">
                  <wp:extent cx="2869200" cy="2152800"/>
                  <wp:effectExtent l="0" t="0" r="7620" b="0"/>
                  <wp:docPr id="8" name="Picture 8" descr="Photograph showing a grassed landscape with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graph showing a grassed landscape with trees in the background."/>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2869200" cy="2152800"/>
                          </a:xfrm>
                          <a:prstGeom prst="rect">
                            <a:avLst/>
                          </a:prstGeom>
                        </pic:spPr>
                      </pic:pic>
                    </a:graphicData>
                  </a:graphic>
                </wp:inline>
              </w:drawing>
            </w:r>
          </w:p>
        </w:tc>
      </w:tr>
    </w:tbl>
    <w:p w14:paraId="7438DB75" w14:textId="78C4BD8D" w:rsidR="00EA702E" w:rsidRPr="00E65F64" w:rsidRDefault="00EA702E" w:rsidP="00EA702E">
      <w:pPr>
        <w:pStyle w:val="BodyText"/>
        <w:spacing w:before="120"/>
      </w:pPr>
      <w:r w:rsidRPr="00E65F64">
        <w:t xml:space="preserve">Some patches of Plains Grassland or Plains Grassy Woodland were recorded, which meet condition thresholds for </w:t>
      </w:r>
      <w:proofErr w:type="spellStart"/>
      <w:r>
        <w:t>MNES</w:t>
      </w:r>
      <w:proofErr w:type="spellEnd"/>
      <w:r>
        <w:t xml:space="preserve"> under the </w:t>
      </w:r>
      <w:proofErr w:type="spellStart"/>
      <w:r w:rsidRPr="00E65F64">
        <w:t>EPBC</w:t>
      </w:r>
      <w:proofErr w:type="spellEnd"/>
      <w:r w:rsidRPr="00E65F64">
        <w:t xml:space="preserve"> Act-listed communities </w:t>
      </w:r>
      <w:r w:rsidRPr="00E65F64">
        <w:rPr>
          <w:rStyle w:val="Italics"/>
        </w:rPr>
        <w:t>Natural Temperate Grassland of the Victorian Volcanic Plain</w:t>
      </w:r>
      <w:r w:rsidRPr="00E65F64">
        <w:t xml:space="preserve"> and </w:t>
      </w:r>
      <w:r w:rsidRPr="00E65F64">
        <w:rPr>
          <w:rStyle w:val="Italics"/>
        </w:rPr>
        <w:t>Grassy Eucalypt Woodland of the Victorian Volcanic Plain</w:t>
      </w:r>
      <w:r w:rsidRPr="00E65F64">
        <w:t xml:space="preserve">. </w:t>
      </w:r>
    </w:p>
    <w:p w14:paraId="26CC33FA" w14:textId="0CC8FAF4" w:rsidR="00EF37F0" w:rsidRDefault="00EF37F0" w:rsidP="00EF37F0">
      <w:pPr>
        <w:pStyle w:val="BodyText"/>
      </w:pPr>
      <w:r w:rsidRPr="00E65F64">
        <w:t xml:space="preserve">Desktop assessments indicated that suitable habitat for 19 </w:t>
      </w:r>
      <w:r w:rsidR="00120DCF">
        <w:t xml:space="preserve">flora </w:t>
      </w:r>
      <w:r w:rsidRPr="00E65F64">
        <w:t xml:space="preserve">species listed under the </w:t>
      </w:r>
      <w:proofErr w:type="spellStart"/>
      <w:r w:rsidRPr="00E65F64">
        <w:t>EPBC</w:t>
      </w:r>
      <w:proofErr w:type="spellEnd"/>
      <w:r w:rsidRPr="00E65F64">
        <w:t xml:space="preserve"> Act, as well as 30 species listed under the </w:t>
      </w:r>
      <w:proofErr w:type="spellStart"/>
      <w:r w:rsidRPr="00E65F64">
        <w:t>FFG</w:t>
      </w:r>
      <w:proofErr w:type="spellEnd"/>
      <w:r w:rsidRPr="00E65F64">
        <w:t xml:space="preserve"> Act</w:t>
      </w:r>
      <w:r>
        <w:t>,</w:t>
      </w:r>
      <w:r w:rsidRPr="00E65F64">
        <w:t xml:space="preserve"> may occur within the study area.</w:t>
      </w:r>
      <w:r w:rsidRPr="00C15412">
        <w:t xml:space="preserve"> Targeted field surveys for predicted </w:t>
      </w:r>
      <w:r>
        <w:t xml:space="preserve">species </w:t>
      </w:r>
      <w:r w:rsidRPr="00C15412">
        <w:t xml:space="preserve">determined that an extremely low number of threatened </w:t>
      </w:r>
      <w:proofErr w:type="gramStart"/>
      <w:r w:rsidRPr="00C15412">
        <w:t>flora</w:t>
      </w:r>
      <w:proofErr w:type="gramEnd"/>
      <w:r w:rsidRPr="00C15412">
        <w:t xml:space="preserve"> were present. </w:t>
      </w:r>
    </w:p>
    <w:p w14:paraId="02F2CD53" w14:textId="24A95D95" w:rsidR="00EF37F0" w:rsidRDefault="00EF37F0" w:rsidP="004D519B">
      <w:pPr>
        <w:pStyle w:val="BodyText"/>
        <w:ind w:right="-113"/>
      </w:pPr>
      <w:r>
        <w:t xml:space="preserve">Targeted surveys were conducted for Striped Legless Lizard, Golden Sun Moth and Growling Grass Frog. The Striped Legless Lizard population found is considered important. Golden Sun Moth habitat within the construction corridor outside the </w:t>
      </w:r>
      <w:proofErr w:type="spellStart"/>
      <w:r>
        <w:t>MSA</w:t>
      </w:r>
      <w:proofErr w:type="spellEnd"/>
      <w:r>
        <w:t xml:space="preserve"> area is estimated </w:t>
      </w:r>
      <w:proofErr w:type="spellStart"/>
      <w:r>
        <w:t>as</w:t>
      </w:r>
      <w:proofErr w:type="spellEnd"/>
      <w:r>
        <w:t xml:space="preserve"> approximately 19.93 ha. </w:t>
      </w:r>
      <w:r w:rsidRPr="00E65F64">
        <w:t>Four</w:t>
      </w:r>
      <w:r w:rsidR="00EA702E">
        <w:t> </w:t>
      </w:r>
      <w:r w:rsidRPr="00E65F64">
        <w:t xml:space="preserve">mapped wetlands consisting of Plains Grassy Wetland and Plains Grassland </w:t>
      </w:r>
      <w:r>
        <w:t>Ecological Vegetation Classes (</w:t>
      </w:r>
      <w:proofErr w:type="spellStart"/>
      <w:r w:rsidRPr="00E65F64">
        <w:t>EVCs</w:t>
      </w:r>
      <w:proofErr w:type="spellEnd"/>
      <w:r>
        <w:t>)</w:t>
      </w:r>
      <w:r w:rsidRPr="00E65F64">
        <w:t xml:space="preserve"> were identified within the construction corridor.</w:t>
      </w:r>
      <w:r>
        <w:t xml:space="preserve"> Eight waterbodies contained water and at least some habitat attributes known to be associated with Growling Grass Frog. This species was recorded within Deep Creek and within an offline waterbody within the </w:t>
      </w:r>
      <w:proofErr w:type="spellStart"/>
      <w:r>
        <w:t>MSA</w:t>
      </w:r>
      <w:proofErr w:type="spellEnd"/>
      <w:r w:rsidR="004D519B">
        <w:t xml:space="preserve"> </w:t>
      </w:r>
      <w:r>
        <w:t xml:space="preserve">area. </w:t>
      </w:r>
    </w:p>
    <w:p w14:paraId="37BB91EA" w14:textId="77777777" w:rsidR="00EF37F0" w:rsidRDefault="00EF37F0" w:rsidP="00EF37F0">
      <w:pPr>
        <w:pStyle w:val="BodyText"/>
      </w:pPr>
      <w:r>
        <w:lastRenderedPageBreak/>
        <w:t>The alignment crosses 23 waterways. S</w:t>
      </w:r>
      <w:r w:rsidRPr="000F2C9E">
        <w:t>even nationally or state</w:t>
      </w:r>
      <w:r>
        <w:t>-</w:t>
      </w:r>
      <w:r w:rsidRPr="000F2C9E">
        <w:t xml:space="preserve">listed threatened </w:t>
      </w:r>
      <w:r>
        <w:t xml:space="preserve">aquatic </w:t>
      </w:r>
      <w:r w:rsidRPr="000F2C9E">
        <w:t xml:space="preserve">species or </w:t>
      </w:r>
      <w:r>
        <w:t xml:space="preserve">potential habitats have the potential to occur in the construction corridor. These include potential habitat for Platypus, the threatened Eastern Snake-necked Turtle, the Murray River </w:t>
      </w:r>
      <w:proofErr w:type="gramStart"/>
      <w:r>
        <w:t>Turtle</w:t>
      </w:r>
      <w:proofErr w:type="gramEnd"/>
      <w:r>
        <w:t xml:space="preserve"> and the Australian Grayling. M</w:t>
      </w:r>
      <w:r w:rsidRPr="000F2C9E">
        <w:t xml:space="preserve">ost </w:t>
      </w:r>
      <w:r>
        <w:t xml:space="preserve">of the threatened species or habitats </w:t>
      </w:r>
      <w:r w:rsidRPr="000F2C9E">
        <w:t>are considered to have a low likelihood of occurrence</w:t>
      </w:r>
      <w:r>
        <w:t>,</w:t>
      </w:r>
      <w:r w:rsidRPr="000F2C9E">
        <w:t xml:space="preserve"> with Australian Grayling the only species with a medium likelihood</w:t>
      </w:r>
      <w:r>
        <w:t>.</w:t>
      </w:r>
    </w:p>
    <w:p w14:paraId="31D990A8" w14:textId="0C48CFC8" w:rsidR="00EF37F0" w:rsidRDefault="00EF37F0" w:rsidP="00EF37F0">
      <w:pPr>
        <w:pStyle w:val="BodyText"/>
      </w:pPr>
      <w:proofErr w:type="spellStart"/>
      <w:r>
        <w:t>MNES</w:t>
      </w:r>
      <w:proofErr w:type="spellEnd"/>
      <w:r>
        <w:t xml:space="preserve"> within the construction corridor are illustrated in </w:t>
      </w:r>
      <w:r>
        <w:fldChar w:fldCharType="begin"/>
      </w:r>
      <w:r>
        <w:instrText xml:space="preserve"> REF _Ref69721004 \h </w:instrText>
      </w:r>
      <w:r>
        <w:fldChar w:fldCharType="separate"/>
      </w:r>
      <w:r w:rsidR="00C320AC">
        <w:t>Figure </w:t>
      </w:r>
      <w:r w:rsidR="00C320AC">
        <w:rPr>
          <w:noProof/>
        </w:rPr>
        <w:t>6</w:t>
      </w:r>
      <w:r>
        <w:fldChar w:fldCharType="end"/>
      </w:r>
      <w:r>
        <w:t xml:space="preserve"> and</w:t>
      </w:r>
      <w:r w:rsidR="00C320AC">
        <w:t xml:space="preserve"> </w:t>
      </w:r>
      <w:r w:rsidR="00C320AC">
        <w:fldChar w:fldCharType="begin"/>
      </w:r>
      <w:r w:rsidR="00C320AC">
        <w:instrText xml:space="preserve"> REF _Ref70331027 \h </w:instrText>
      </w:r>
      <w:r w:rsidR="00C320AC">
        <w:fldChar w:fldCharType="separate"/>
      </w:r>
      <w:r w:rsidR="00C320AC">
        <w:t>Figure </w:t>
      </w:r>
      <w:r w:rsidR="00C320AC">
        <w:rPr>
          <w:noProof/>
        </w:rPr>
        <w:t>7</w:t>
      </w:r>
      <w:r w:rsidR="00C320AC">
        <w:fldChar w:fldCharType="end"/>
      </w:r>
      <w:r>
        <w:t xml:space="preserve">. </w:t>
      </w:r>
    </w:p>
    <w:p w14:paraId="028F54ED" w14:textId="1F901633" w:rsidR="00EF37F0" w:rsidRDefault="00EF37F0" w:rsidP="00EF37F0">
      <w:pPr>
        <w:pStyle w:val="Caption"/>
      </w:pPr>
      <w:bookmarkStart w:id="71" w:name="_Ref69721004"/>
      <w:bookmarkStart w:id="72" w:name="_Ref69469385"/>
      <w:r>
        <w:t>Figure </w:t>
      </w:r>
      <w:r w:rsidR="00113B39">
        <w:fldChar w:fldCharType="begin"/>
      </w:r>
      <w:r w:rsidR="00113B39">
        <w:instrText xml:space="preserve"> SEQ Figure \* ARABIC </w:instrText>
      </w:r>
      <w:r w:rsidR="00113B39">
        <w:fldChar w:fldCharType="separate"/>
      </w:r>
      <w:r w:rsidR="00C320AC">
        <w:rPr>
          <w:noProof/>
        </w:rPr>
        <w:t>6</w:t>
      </w:r>
      <w:r w:rsidR="00113B39">
        <w:rPr>
          <w:noProof/>
        </w:rPr>
        <w:fldChar w:fldCharType="end"/>
      </w:r>
      <w:bookmarkEnd w:id="71"/>
      <w:bookmarkEnd w:id="72"/>
      <w:r>
        <w:tab/>
      </w:r>
      <w:proofErr w:type="spellStart"/>
      <w:r>
        <w:t>MNES</w:t>
      </w:r>
      <w:proofErr w:type="spellEnd"/>
      <w:r>
        <w:t xml:space="preserve"> within the construction corridor (</w:t>
      </w:r>
      <w:proofErr w:type="spellStart"/>
      <w:r>
        <w:t>KP</w:t>
      </w:r>
      <w:proofErr w:type="spellEnd"/>
      <w:r>
        <w:t xml:space="preserve"> 0</w:t>
      </w:r>
      <w:r w:rsidR="00CE5CD3">
        <w:t>–</w:t>
      </w:r>
      <w:proofErr w:type="spellStart"/>
      <w:r>
        <w:t>KP</w:t>
      </w:r>
      <w:proofErr w:type="spellEnd"/>
      <w:r>
        <w:t xml:space="preserve"> 20)</w:t>
      </w:r>
    </w:p>
    <w:p w14:paraId="4FB9BE0C" w14:textId="07B6B2AB" w:rsidR="00EF37F0" w:rsidRPr="00EF37F0" w:rsidRDefault="006C360D" w:rsidP="00EF37F0">
      <w:pPr>
        <w:pStyle w:val="BodyText"/>
      </w:pPr>
      <w:r w:rsidRPr="006C360D">
        <w:rPr>
          <w:noProof/>
        </w:rPr>
        <w:drawing>
          <wp:inline distT="0" distB="0" distL="0" distR="0" wp14:anchorId="566C9F92" wp14:editId="39DA683B">
            <wp:extent cx="5760000" cy="5642515"/>
            <wp:effectExtent l="0" t="0" r="0" b="0"/>
            <wp:docPr id="17" name="Picture 17" descr="A map is presented which shows the MNES within the construciton corridor from KP0-KP20. The presence of Striped Legless Lizard, Golden Sun Moth and Growling Grass Frog is recorded in the map. The striped legless lizard and golden sun moth are recorded around KP10, and the Growling grass frog is recorded at Deep Creek after KP15. The likelihood of occurance of Australian Grayling is identified along Deep Creek after K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map is presented which shows the MNES within the construciton corridor from KP0-KP20. The presence of Striped Legless Lizard, Golden Sun Moth and Growling Grass Frog is recorded in the map. The striped legless lizard and golden sun moth are recorded around KP10, and the Growling grass frog is recorded at Deep Creek after KP15. The likelihood of occurance of Australian Grayling is identified along Deep Creek after KP15."/>
                    <pic:cNvPicPr/>
                  </pic:nvPicPr>
                  <pic:blipFill>
                    <a:blip r:embed="rId25"/>
                    <a:stretch>
                      <a:fillRect/>
                    </a:stretch>
                  </pic:blipFill>
                  <pic:spPr>
                    <a:xfrm>
                      <a:off x="0" y="0"/>
                      <a:ext cx="5760000" cy="5642515"/>
                    </a:xfrm>
                    <a:prstGeom prst="rect">
                      <a:avLst/>
                    </a:prstGeom>
                  </pic:spPr>
                </pic:pic>
              </a:graphicData>
            </a:graphic>
          </wp:inline>
        </w:drawing>
      </w:r>
    </w:p>
    <w:p w14:paraId="23BCA3D0" w14:textId="77777777" w:rsidR="00EF37F0" w:rsidRPr="00EF37F0" w:rsidRDefault="00EF37F0" w:rsidP="00EF37F0">
      <w:r>
        <w:br w:type="page"/>
      </w:r>
    </w:p>
    <w:p w14:paraId="16E517B1" w14:textId="45543A8A" w:rsidR="00EF37F0" w:rsidRDefault="00EF37F0" w:rsidP="00EF37F0">
      <w:pPr>
        <w:pStyle w:val="Caption"/>
      </w:pPr>
      <w:bookmarkStart w:id="73" w:name="_Ref70331027"/>
      <w:r>
        <w:lastRenderedPageBreak/>
        <w:t>Figure </w:t>
      </w:r>
      <w:r w:rsidR="00113B39">
        <w:fldChar w:fldCharType="begin"/>
      </w:r>
      <w:r w:rsidR="00113B39">
        <w:instrText xml:space="preserve"> SEQ Figure \* ARABIC </w:instrText>
      </w:r>
      <w:r w:rsidR="00113B39">
        <w:fldChar w:fldCharType="separate"/>
      </w:r>
      <w:r w:rsidR="00C320AC">
        <w:rPr>
          <w:noProof/>
        </w:rPr>
        <w:t>7</w:t>
      </w:r>
      <w:r w:rsidR="00113B39">
        <w:rPr>
          <w:noProof/>
        </w:rPr>
        <w:fldChar w:fldCharType="end"/>
      </w:r>
      <w:bookmarkEnd w:id="73"/>
      <w:r>
        <w:tab/>
      </w:r>
      <w:proofErr w:type="spellStart"/>
      <w:r>
        <w:t>MNES</w:t>
      </w:r>
      <w:proofErr w:type="spellEnd"/>
      <w:r>
        <w:t xml:space="preserve"> within the construction corridor (</w:t>
      </w:r>
      <w:proofErr w:type="spellStart"/>
      <w:r>
        <w:t>KP</w:t>
      </w:r>
      <w:proofErr w:type="spellEnd"/>
      <w:r>
        <w:t xml:space="preserve"> 20</w:t>
      </w:r>
      <w:r w:rsidR="00CE5CD3">
        <w:t>–</w:t>
      </w:r>
      <w:proofErr w:type="spellStart"/>
      <w:r>
        <w:t>KP</w:t>
      </w:r>
      <w:proofErr w:type="spellEnd"/>
      <w:r>
        <w:t xml:space="preserve"> 51)</w:t>
      </w:r>
    </w:p>
    <w:p w14:paraId="42D691EF" w14:textId="6D7226BF" w:rsidR="00EF37F0" w:rsidRPr="00EF37F0" w:rsidRDefault="006C360D" w:rsidP="006C360D">
      <w:pPr>
        <w:pStyle w:val="Object"/>
      </w:pPr>
      <w:r w:rsidRPr="006C360D">
        <w:rPr>
          <w:noProof/>
        </w:rPr>
        <w:drawing>
          <wp:inline distT="0" distB="0" distL="0" distR="0" wp14:anchorId="3CA96021" wp14:editId="3D33B51A">
            <wp:extent cx="5759450" cy="5636895"/>
            <wp:effectExtent l="0" t="0" r="0" b="1905"/>
            <wp:docPr id="26" name="Picture 26" descr="A map is presented which shows the MNES within the construciton corridor from KP20-KP51. The presence of Matted Flac-lilly, Golden Sun Moth and Growling Grass Frog is recorded in the map. The Golden Sun Moth and Matted Flax-lilly are recorded around KP20. The Golden Sun Moth is scattered further throghout the alignment from KP25 to KP35 and then KP40 to KP50. The Growling Grass Frog is recorded at KP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map is presented which shows the MNES within the construciton corridor from KP20-KP51. The presence of Matted Flac-lilly, Golden Sun Moth and Growling Grass Frog is recorded in the map. The Golden Sun Moth and Matted Flax-lilly are recorded around KP20. The Golden Sun Moth is scattered further throghout the alignment from KP25 to KP35 and then KP40 to KP50. The Growling Grass Frog is recorded at KP40."/>
                    <pic:cNvPicPr/>
                  </pic:nvPicPr>
                  <pic:blipFill>
                    <a:blip r:embed="rId26"/>
                    <a:stretch>
                      <a:fillRect/>
                    </a:stretch>
                  </pic:blipFill>
                  <pic:spPr>
                    <a:xfrm>
                      <a:off x="0" y="0"/>
                      <a:ext cx="5759450" cy="5636895"/>
                    </a:xfrm>
                    <a:prstGeom prst="rect">
                      <a:avLst/>
                    </a:prstGeom>
                  </pic:spPr>
                </pic:pic>
              </a:graphicData>
            </a:graphic>
          </wp:inline>
        </w:drawing>
      </w:r>
    </w:p>
    <w:p w14:paraId="0E7B5653" w14:textId="2163CB99" w:rsidR="00EF37F0" w:rsidRPr="00E65F64" w:rsidRDefault="009B45BC" w:rsidP="00EA702E">
      <w:pPr>
        <w:pStyle w:val="Heading5"/>
        <w:spacing w:before="440"/>
      </w:pPr>
      <w:r>
        <w:t>Biodiversity i</w:t>
      </w:r>
      <w:r w:rsidR="00EF37F0">
        <w:t xml:space="preserve">mpact </w:t>
      </w:r>
      <w:r>
        <w:t>a</w:t>
      </w:r>
      <w:r w:rsidR="00EF37F0">
        <w:t>ssessment</w:t>
      </w:r>
    </w:p>
    <w:p w14:paraId="14062E71" w14:textId="77777777" w:rsidR="00702A2A" w:rsidRDefault="00EF37F0" w:rsidP="00EF37F0">
      <w:pPr>
        <w:pStyle w:val="BodyText"/>
      </w:pPr>
      <w:proofErr w:type="gramStart"/>
      <w:r>
        <w:t>A number of</w:t>
      </w:r>
      <w:proofErr w:type="gramEnd"/>
      <w:r>
        <w:t xml:space="preserve"> biodiversity values identified will be avoided through</w:t>
      </w:r>
      <w:r w:rsidRPr="00615AF0">
        <w:t xml:space="preserve"> </w:t>
      </w:r>
      <w:r w:rsidRPr="00613758">
        <w:t>pipeline re-alignment and use of HDD.</w:t>
      </w:r>
      <w:r>
        <w:t xml:space="preserve"> These include</w:t>
      </w:r>
      <w:r w:rsidR="00702A2A">
        <w:t>:</w:t>
      </w:r>
      <w:r>
        <w:t xml:space="preserve"> </w:t>
      </w:r>
    </w:p>
    <w:p w14:paraId="4D179C19" w14:textId="026A51D5" w:rsidR="00702A2A" w:rsidRDefault="00702A2A" w:rsidP="00702A2A">
      <w:pPr>
        <w:pStyle w:val="BodyBullet1"/>
      </w:pPr>
      <w:r>
        <w:t>T</w:t>
      </w:r>
      <w:r w:rsidRPr="00613758">
        <w:t xml:space="preserve">wo </w:t>
      </w:r>
      <w:r w:rsidR="00EF37F0" w:rsidRPr="00613758">
        <w:t>species of threatened flora (</w:t>
      </w:r>
      <w:r w:rsidR="00B80251">
        <w:t xml:space="preserve">one </w:t>
      </w:r>
      <w:r w:rsidR="00EF37F0" w:rsidRPr="00613758">
        <w:t xml:space="preserve">Matted Flax-lily </w:t>
      </w:r>
      <w:r w:rsidR="00EF37F0" w:rsidRPr="00CE5CD3">
        <w:rPr>
          <w:rStyle w:val="Italics"/>
          <w:lang w:val="la-Latn"/>
        </w:rPr>
        <w:t>Dianella amoena</w:t>
      </w:r>
      <w:r w:rsidR="00EF37F0" w:rsidRPr="00613758">
        <w:t xml:space="preserve"> and 48 Tough Scurf-pea </w:t>
      </w:r>
      <w:r w:rsidR="00EF37F0" w:rsidRPr="00CE5CD3">
        <w:rPr>
          <w:rStyle w:val="Italics"/>
          <w:lang w:val="la-Latn"/>
        </w:rPr>
        <w:t>Cullen tenax</w:t>
      </w:r>
      <w:r w:rsidR="00EF37F0" w:rsidRPr="00613758">
        <w:t>)</w:t>
      </w:r>
    </w:p>
    <w:p w14:paraId="53C09CED" w14:textId="43D21153" w:rsidR="00702A2A" w:rsidRDefault="00702A2A" w:rsidP="00702A2A">
      <w:pPr>
        <w:pStyle w:val="BodyBullet1"/>
      </w:pPr>
      <w:r>
        <w:t>T</w:t>
      </w:r>
      <w:r w:rsidR="00EF37F0" w:rsidRPr="00613758">
        <w:t xml:space="preserve">en large River Red Gum trees within a </w:t>
      </w:r>
      <w:r w:rsidR="00EF37F0">
        <w:t>threatened community</w:t>
      </w:r>
    </w:p>
    <w:p w14:paraId="11D80F8B" w14:textId="39F9D3D8" w:rsidR="00702A2A" w:rsidRDefault="00EF37F0" w:rsidP="00702A2A">
      <w:pPr>
        <w:pStyle w:val="BodyBullet1"/>
      </w:pPr>
      <w:r w:rsidRPr="00613758">
        <w:t>2.7 hectares of grassy woodland (</w:t>
      </w:r>
      <w:proofErr w:type="spellStart"/>
      <w:r w:rsidRPr="00613758">
        <w:t>EPBC</w:t>
      </w:r>
      <w:proofErr w:type="spellEnd"/>
      <w:r w:rsidRPr="00613758">
        <w:t>/</w:t>
      </w:r>
      <w:proofErr w:type="spellStart"/>
      <w:r w:rsidRPr="00613758">
        <w:t>EVC</w:t>
      </w:r>
      <w:proofErr w:type="spellEnd"/>
      <w:r w:rsidRPr="00613758">
        <w:t>/</w:t>
      </w:r>
      <w:proofErr w:type="spellStart"/>
      <w:r w:rsidRPr="00613758">
        <w:t>FFG</w:t>
      </w:r>
      <w:proofErr w:type="spellEnd"/>
      <w:r w:rsidRPr="00613758">
        <w:t>) and 1.26 hectares of grassland (</w:t>
      </w:r>
      <w:proofErr w:type="spellStart"/>
      <w:r w:rsidRPr="00613758">
        <w:t>EPBC</w:t>
      </w:r>
      <w:proofErr w:type="spellEnd"/>
      <w:r w:rsidRPr="00613758">
        <w:t>/</w:t>
      </w:r>
      <w:proofErr w:type="spellStart"/>
      <w:r w:rsidRPr="00613758">
        <w:t>EVC</w:t>
      </w:r>
      <w:proofErr w:type="spellEnd"/>
      <w:r w:rsidRPr="00613758">
        <w:t>/</w:t>
      </w:r>
      <w:proofErr w:type="spellStart"/>
      <w:r w:rsidRPr="00613758">
        <w:t>FFG</w:t>
      </w:r>
      <w:proofErr w:type="spellEnd"/>
      <w:r w:rsidRPr="00613758">
        <w:t>)</w:t>
      </w:r>
    </w:p>
    <w:p w14:paraId="70CBF6F2" w14:textId="74070EB5" w:rsidR="00EA702E" w:rsidRDefault="00EF37F0" w:rsidP="00892074">
      <w:pPr>
        <w:pStyle w:val="BodyBullet1"/>
      </w:pPr>
      <w:r w:rsidRPr="00613758">
        <w:t xml:space="preserve">1.24 hectares of known and assumed Striped Legless Lizard habitat (outside of the </w:t>
      </w:r>
      <w:proofErr w:type="spellStart"/>
      <w:r w:rsidRPr="00613758">
        <w:t>MSA</w:t>
      </w:r>
      <w:proofErr w:type="spellEnd"/>
      <w:r w:rsidRPr="00613758">
        <w:t xml:space="preserve">) and 4.08 hectares of known or assumed Golden Sun Moth habitat (outside of the </w:t>
      </w:r>
      <w:proofErr w:type="spellStart"/>
      <w:r w:rsidRPr="00613758">
        <w:t>MSA</w:t>
      </w:r>
      <w:proofErr w:type="spellEnd"/>
      <w:r w:rsidRPr="00613758">
        <w:t>)</w:t>
      </w:r>
      <w:r>
        <w:t xml:space="preserve">. </w:t>
      </w:r>
    </w:p>
    <w:p w14:paraId="777CDE17" w14:textId="77777777" w:rsidR="00EF37F0" w:rsidRDefault="00EF37F0" w:rsidP="00EF37F0">
      <w:pPr>
        <w:pStyle w:val="BodyText"/>
      </w:pPr>
      <w:r>
        <w:lastRenderedPageBreak/>
        <w:t xml:space="preserve">Direct vegetation loss is expected of: </w:t>
      </w:r>
    </w:p>
    <w:p w14:paraId="0C6122D4" w14:textId="2767A420" w:rsidR="00EF37F0" w:rsidRDefault="00BF3CDE" w:rsidP="00EF37F0">
      <w:pPr>
        <w:pStyle w:val="BodyBullet1"/>
      </w:pPr>
      <w:r>
        <w:t>15.32</w:t>
      </w:r>
      <w:r w:rsidR="00EF37F0">
        <w:t xml:space="preserve"> hectares of native vegetation in patches from six </w:t>
      </w:r>
      <w:proofErr w:type="spellStart"/>
      <w:r w:rsidR="00EF37F0">
        <w:t>EVCs</w:t>
      </w:r>
      <w:proofErr w:type="spellEnd"/>
      <w:r w:rsidR="00EF37F0">
        <w:t>; 12 large trees within patches; 16</w:t>
      </w:r>
      <w:r w:rsidR="006C169D">
        <w:t> </w:t>
      </w:r>
      <w:proofErr w:type="gramStart"/>
      <w:r w:rsidR="00EF37F0">
        <w:t>large scattered</w:t>
      </w:r>
      <w:proofErr w:type="gramEnd"/>
      <w:r w:rsidR="00EF37F0">
        <w:t xml:space="preserve"> trees, and 16 small scattered trees</w:t>
      </w:r>
    </w:p>
    <w:p w14:paraId="0581C5E8" w14:textId="0F0354B5" w:rsidR="00EF37F0" w:rsidRDefault="00EF37F0" w:rsidP="00EF37F0">
      <w:pPr>
        <w:pStyle w:val="BodyBullet1"/>
      </w:pPr>
      <w:r>
        <w:t>4.</w:t>
      </w:r>
      <w:r w:rsidR="001611E9">
        <w:t>1</w:t>
      </w:r>
      <w:r>
        <w:t xml:space="preserve">6 hectares of </w:t>
      </w:r>
      <w:proofErr w:type="spellStart"/>
      <w:r>
        <w:t>EPBC</w:t>
      </w:r>
      <w:proofErr w:type="spellEnd"/>
      <w:r>
        <w:t xml:space="preserve"> Act-listed threatened community Natural Temperate Grassland of the Victorian Volcanic Plain (3.</w:t>
      </w:r>
      <w:r w:rsidR="001611E9">
        <w:t xml:space="preserve">43 </w:t>
      </w:r>
      <w:r>
        <w:t xml:space="preserve">hectares outside the </w:t>
      </w:r>
      <w:proofErr w:type="spellStart"/>
      <w:r>
        <w:t>MSA</w:t>
      </w:r>
      <w:proofErr w:type="spellEnd"/>
      <w:r>
        <w:t xml:space="preserve"> area)</w:t>
      </w:r>
    </w:p>
    <w:p w14:paraId="5E92132C" w14:textId="4FB65F1E" w:rsidR="00EF37F0" w:rsidRDefault="00EF37F0" w:rsidP="00EF37F0">
      <w:pPr>
        <w:pStyle w:val="BodyBullet1"/>
      </w:pPr>
      <w:r>
        <w:t>2.</w:t>
      </w:r>
      <w:r w:rsidR="001611E9">
        <w:t>26</w:t>
      </w:r>
      <w:r>
        <w:t xml:space="preserve"> hectares of </w:t>
      </w:r>
      <w:proofErr w:type="spellStart"/>
      <w:r>
        <w:t>EPBC</w:t>
      </w:r>
      <w:proofErr w:type="spellEnd"/>
      <w:r>
        <w:t xml:space="preserve"> Act-listed threatened community Grassy Eucalypt Woodland of the Victorian Volcanic Plain (2.2</w:t>
      </w:r>
      <w:r w:rsidR="001611E9">
        <w:t>0</w:t>
      </w:r>
      <w:r>
        <w:t xml:space="preserve"> hectares outside the </w:t>
      </w:r>
      <w:proofErr w:type="spellStart"/>
      <w:r>
        <w:t>MSA</w:t>
      </w:r>
      <w:proofErr w:type="spellEnd"/>
      <w:r>
        <w:t xml:space="preserve"> area)</w:t>
      </w:r>
    </w:p>
    <w:p w14:paraId="24F65A2D" w14:textId="2060A1BF" w:rsidR="00EF37F0" w:rsidRDefault="00EF37F0" w:rsidP="00EF37F0">
      <w:pPr>
        <w:pStyle w:val="BodyBullet1"/>
      </w:pPr>
      <w:r>
        <w:t>10.</w:t>
      </w:r>
      <w:r w:rsidR="001611E9">
        <w:t>36</w:t>
      </w:r>
      <w:r>
        <w:t xml:space="preserve"> hectares of </w:t>
      </w:r>
      <w:proofErr w:type="spellStart"/>
      <w:r>
        <w:t>FFG</w:t>
      </w:r>
      <w:proofErr w:type="spellEnd"/>
      <w:r>
        <w:t xml:space="preserve"> Act-listed threatened community Western (Basalt) Plains Grasslands Community (8.</w:t>
      </w:r>
      <w:r w:rsidR="001611E9">
        <w:t xml:space="preserve">98 </w:t>
      </w:r>
      <w:r>
        <w:t xml:space="preserve">hectares outside the </w:t>
      </w:r>
      <w:proofErr w:type="spellStart"/>
      <w:r>
        <w:t>MSA</w:t>
      </w:r>
      <w:proofErr w:type="spellEnd"/>
      <w:r>
        <w:t xml:space="preserve"> area)</w:t>
      </w:r>
    </w:p>
    <w:p w14:paraId="19EE2600" w14:textId="7F45C9DD" w:rsidR="00EF37F0" w:rsidRDefault="00EF37F0" w:rsidP="00EF37F0">
      <w:pPr>
        <w:pStyle w:val="BodyBullet1"/>
      </w:pPr>
      <w:r>
        <w:t>4.6</w:t>
      </w:r>
      <w:r w:rsidR="001611E9">
        <w:t>2</w:t>
      </w:r>
      <w:r>
        <w:t xml:space="preserve"> hectares of </w:t>
      </w:r>
      <w:proofErr w:type="spellStart"/>
      <w:r>
        <w:t>FFG</w:t>
      </w:r>
      <w:proofErr w:type="spellEnd"/>
      <w:r>
        <w:t xml:space="preserve"> Act-listed threatened community Western Basalt Plains (River Red Gum) Grassy Woodland (4.</w:t>
      </w:r>
      <w:r w:rsidR="00BF3CDE">
        <w:t>30</w:t>
      </w:r>
      <w:r>
        <w:t xml:space="preserve"> hectares outside the </w:t>
      </w:r>
      <w:proofErr w:type="spellStart"/>
      <w:r>
        <w:t>MSA</w:t>
      </w:r>
      <w:proofErr w:type="spellEnd"/>
      <w:r>
        <w:t xml:space="preserve"> area).</w:t>
      </w:r>
    </w:p>
    <w:p w14:paraId="60348392" w14:textId="34FE4C10" w:rsidR="00EF37F0" w:rsidRDefault="00EF37F0" w:rsidP="00EF37F0">
      <w:pPr>
        <w:pStyle w:val="BodyText"/>
      </w:pPr>
      <w:r>
        <w:t xml:space="preserve">The Project is likely to have a significant impact on Grassy Eucalypt Woodland of the Victorian Volcanic Plain based on five </w:t>
      </w:r>
      <w:proofErr w:type="spellStart"/>
      <w:r>
        <w:t>EPBC</w:t>
      </w:r>
      <w:proofErr w:type="spellEnd"/>
      <w:r>
        <w:t xml:space="preserve"> Act significance </w:t>
      </w:r>
      <w:proofErr w:type="gramStart"/>
      <w:r>
        <w:t>criteria, and</w:t>
      </w:r>
      <w:proofErr w:type="gramEnd"/>
      <w:r>
        <w:t xml:space="preserve"> is also likely to have a significant impact on Natural Temperate Grassland of the Victorian Volcanic Plain based on two criteria.</w:t>
      </w:r>
    </w:p>
    <w:tbl>
      <w:tblPr>
        <w:tblW w:w="0" w:type="auto"/>
        <w:tblLayout w:type="fixed"/>
        <w:tblLook w:val="04A0" w:firstRow="1" w:lastRow="0" w:firstColumn="1" w:lastColumn="0" w:noHBand="0" w:noVBand="1"/>
      </w:tblPr>
      <w:tblGrid>
        <w:gridCol w:w="4550"/>
        <w:gridCol w:w="4520"/>
      </w:tblGrid>
      <w:tr w:rsidR="00375E98" w14:paraId="21F20BA6" w14:textId="77777777" w:rsidTr="00375E98">
        <w:trPr>
          <w:cantSplit/>
        </w:trPr>
        <w:tc>
          <w:tcPr>
            <w:tcW w:w="4550" w:type="dxa"/>
            <w:tcMar>
              <w:left w:w="0" w:type="dxa"/>
            </w:tcMar>
          </w:tcPr>
          <w:p w14:paraId="195C42B3" w14:textId="77777777" w:rsidR="00375E98" w:rsidRDefault="00375E98" w:rsidP="00375E98">
            <w:pPr>
              <w:pStyle w:val="BodyText"/>
              <w:spacing w:before="120"/>
            </w:pPr>
            <w:r w:rsidRPr="00B64E61">
              <w:t xml:space="preserve">Impacts </w:t>
            </w:r>
            <w:r>
              <w:t xml:space="preserve">on native vegetation </w:t>
            </w:r>
            <w:r w:rsidRPr="00B64E61">
              <w:t>have been minimised as far as practicable. However, since vegetation removal would occur, any further reduction o</w:t>
            </w:r>
            <w:r>
              <w:t>f</w:t>
            </w:r>
            <w:r w:rsidRPr="00B64E61">
              <w:t xml:space="preserve"> the residual impacts has not been achievable. Areas that are disturbed during construction would be reinstated</w:t>
            </w:r>
            <w:r>
              <w:t xml:space="preserve"> in accordance with the reinstatement requirements recommended for the Project</w:t>
            </w:r>
            <w:r w:rsidRPr="00B64E61">
              <w:t>.</w:t>
            </w:r>
          </w:p>
          <w:p w14:paraId="69B91586" w14:textId="30411DAF" w:rsidR="00375E98" w:rsidRDefault="00375E98" w:rsidP="00375E98">
            <w:pPr>
              <w:pStyle w:val="BodyText"/>
            </w:pPr>
            <w:r>
              <w:t xml:space="preserve">Impacts on threatened fauna are expected to be limited to four species: Golden Sun Moth, Striped Legless Lizard, Growling Grass Frog and Tussock Skink. Golden Sun Moth and Striped Legless Lizard are expected to experience the greatest impacts of land clearance, with respective totals of 19.93 </w:t>
            </w:r>
            <w:r w:rsidR="005A15D0">
              <w:t xml:space="preserve">hectares </w:t>
            </w:r>
            <w:r>
              <w:t xml:space="preserve">and 39.34 </w:t>
            </w:r>
            <w:r w:rsidR="005A15D0">
              <w:t xml:space="preserve">hectares </w:t>
            </w:r>
            <w:r>
              <w:t>of known or potential habitat expected to be impacted.</w:t>
            </w:r>
          </w:p>
        </w:tc>
        <w:tc>
          <w:tcPr>
            <w:tcW w:w="4520" w:type="dxa"/>
            <w:tcMar>
              <w:left w:w="0" w:type="dxa"/>
              <w:right w:w="0" w:type="dxa"/>
            </w:tcMar>
          </w:tcPr>
          <w:p w14:paraId="7C7BA133" w14:textId="58CCBB55" w:rsidR="00375E98" w:rsidRPr="00375E98" w:rsidRDefault="00375E98" w:rsidP="00375E98">
            <w:pPr>
              <w:pStyle w:val="Caption"/>
              <w:spacing w:before="120"/>
            </w:pPr>
            <w:r>
              <w:t>Figure </w:t>
            </w:r>
            <w:r w:rsidR="00113B39">
              <w:fldChar w:fldCharType="begin"/>
            </w:r>
            <w:r w:rsidR="00113B39">
              <w:instrText xml:space="preserve"> SEQ Figure \* ARABIC </w:instrText>
            </w:r>
            <w:r w:rsidR="00113B39">
              <w:fldChar w:fldCharType="separate"/>
            </w:r>
            <w:r w:rsidR="00E94BD2">
              <w:rPr>
                <w:noProof/>
              </w:rPr>
              <w:t>8</w:t>
            </w:r>
            <w:r w:rsidR="00113B39">
              <w:rPr>
                <w:noProof/>
              </w:rPr>
              <w:fldChar w:fldCharType="end"/>
            </w:r>
            <w:r>
              <w:tab/>
              <w:t>Growling Grass Frog</w:t>
            </w:r>
          </w:p>
          <w:p w14:paraId="2DE41478" w14:textId="681892B9" w:rsidR="00375E98" w:rsidRDefault="00375E98" w:rsidP="000B2940">
            <w:pPr>
              <w:pStyle w:val="BodyTextSingleSpacing"/>
            </w:pPr>
            <w:r w:rsidRPr="00EF37F0">
              <w:rPr>
                <w:noProof/>
              </w:rPr>
              <w:drawing>
                <wp:inline distT="0" distB="0" distL="0" distR="0" wp14:anchorId="11C1C331" wp14:editId="34CCAD7E">
                  <wp:extent cx="2898140" cy="2314575"/>
                  <wp:effectExtent l="0" t="0" r="0" b="9525"/>
                  <wp:docPr id="13" name="Picture 13" descr="Photograph of growling grass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hotograph of growling grass frog."/>
                          <pic:cNvPicPr/>
                        </pic:nvPicPr>
                        <pic:blipFill rotWithShape="1">
                          <a:blip r:embed="rId27" cstate="hqprint">
                            <a:extLst>
                              <a:ext uri="{28A0092B-C50C-407E-A947-70E740481C1C}">
                                <a14:useLocalDpi xmlns:a14="http://schemas.microsoft.com/office/drawing/2010/main" val="0"/>
                              </a:ext>
                            </a:extLst>
                          </a:blip>
                          <a:srcRect l="9923" t="6468" r="25248" b="1508"/>
                          <a:stretch/>
                        </pic:blipFill>
                        <pic:spPr bwMode="auto">
                          <a:xfrm>
                            <a:off x="0" y="0"/>
                            <a:ext cx="2898140" cy="23145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841D8AA" w14:textId="4EBC9AF5" w:rsidR="00EF37F0" w:rsidRDefault="00EF37F0" w:rsidP="00375E98">
      <w:pPr>
        <w:pStyle w:val="BodyText"/>
        <w:spacing w:before="120"/>
      </w:pPr>
      <w:r>
        <w:t xml:space="preserve">Removal of endangered </w:t>
      </w:r>
      <w:proofErr w:type="spellStart"/>
      <w:r>
        <w:t>EVCs</w:t>
      </w:r>
      <w:proofErr w:type="spellEnd"/>
      <w:r>
        <w:t xml:space="preserve"> and large trees would be managed through an offsetting arrangement in accordance with the </w:t>
      </w:r>
      <w:r w:rsidRPr="00EF37F0">
        <w:t>Guidelines for the removal, destruction or lopping of native vegetation</w:t>
      </w:r>
      <w:r>
        <w:t xml:space="preserve"> (DELWP, </w:t>
      </w:r>
      <w:proofErr w:type="spellStart"/>
      <w:r>
        <w:t>2017a</w:t>
      </w:r>
      <w:proofErr w:type="spellEnd"/>
      <w:r>
        <w:t xml:space="preserve">). Offsets for the loss of </w:t>
      </w:r>
      <w:proofErr w:type="spellStart"/>
      <w:r>
        <w:t>FFG</w:t>
      </w:r>
      <w:proofErr w:type="spellEnd"/>
      <w:r>
        <w:t xml:space="preserve"> Act-listed communities would be addressed through offsets for endangered </w:t>
      </w:r>
      <w:proofErr w:type="spellStart"/>
      <w:r>
        <w:t>EVCs</w:t>
      </w:r>
      <w:proofErr w:type="spellEnd"/>
      <w:r>
        <w:t xml:space="preserve"> Plains Grassland and Plains Grassy Woodland. An Ecological Offset Strategy has been prepared and identified offsets are currently readily available for purchase.</w:t>
      </w:r>
      <w:r w:rsidR="00B80251">
        <w:t xml:space="preserve"> This</w:t>
      </w:r>
      <w:r w:rsidR="00375E98">
        <w:t> </w:t>
      </w:r>
      <w:r w:rsidR="00B80251">
        <w:t xml:space="preserve">would also address offsets for the impacted </w:t>
      </w:r>
      <w:proofErr w:type="spellStart"/>
      <w:r w:rsidR="00B80251">
        <w:t>EPBC</w:t>
      </w:r>
      <w:proofErr w:type="spellEnd"/>
      <w:r w:rsidR="00B80251">
        <w:t xml:space="preserve"> Act species.</w:t>
      </w:r>
    </w:p>
    <w:p w14:paraId="3D013EDB" w14:textId="1D92B1B7" w:rsidR="008B512A" w:rsidRDefault="008B512A" w:rsidP="008B512A">
      <w:pPr>
        <w:pStyle w:val="BodyText"/>
      </w:pPr>
      <w:r>
        <w:t>T</w:t>
      </w:r>
      <w:r w:rsidRPr="0054772C">
        <w:t>he Project traverses two conservation areas</w:t>
      </w:r>
      <w:r>
        <w:t xml:space="preserve"> within the </w:t>
      </w:r>
      <w:proofErr w:type="spellStart"/>
      <w:r>
        <w:t>MSA</w:t>
      </w:r>
      <w:proofErr w:type="spellEnd"/>
      <w:r>
        <w:t>, as</w:t>
      </w:r>
      <w:r w:rsidRPr="0054772C">
        <w:t xml:space="preserve"> approved under Part 10 of the </w:t>
      </w:r>
      <w:proofErr w:type="spellStart"/>
      <w:r w:rsidRPr="0054772C">
        <w:t>EPBC</w:t>
      </w:r>
      <w:proofErr w:type="spellEnd"/>
      <w:r w:rsidRPr="0054772C">
        <w:t xml:space="preserve"> Act. </w:t>
      </w:r>
      <w:r>
        <w:t>T</w:t>
      </w:r>
      <w:r w:rsidRPr="00061A80">
        <w:t xml:space="preserve">he extent of the construction corridor </w:t>
      </w:r>
      <w:r>
        <w:t xml:space="preserve">within </w:t>
      </w:r>
      <w:r w:rsidRPr="0054772C">
        <w:t xml:space="preserve">Conservation Area </w:t>
      </w:r>
      <w:proofErr w:type="spellStart"/>
      <w:r w:rsidRPr="0054772C">
        <w:t>34a</w:t>
      </w:r>
      <w:proofErr w:type="spellEnd"/>
      <w:r w:rsidRPr="0054772C">
        <w:t xml:space="preserve"> </w:t>
      </w:r>
      <w:r w:rsidR="00D50E2E">
        <w:t>–</w:t>
      </w:r>
      <w:r w:rsidRPr="0054772C">
        <w:t xml:space="preserve"> Northern Growth Corridor</w:t>
      </w:r>
      <w:r>
        <w:t xml:space="preserve"> </w:t>
      </w:r>
      <w:r w:rsidRPr="0054772C">
        <w:t>is 0.59 hectares excluding the existing easement</w:t>
      </w:r>
      <w:r w:rsidR="00690FBD">
        <w:t xml:space="preserve"> between </w:t>
      </w:r>
      <w:proofErr w:type="spellStart"/>
      <w:r w:rsidR="00690FBD">
        <w:t>KP</w:t>
      </w:r>
      <w:proofErr w:type="spellEnd"/>
      <w:r w:rsidR="00690FBD">
        <w:t xml:space="preserve"> 42.6 and </w:t>
      </w:r>
      <w:proofErr w:type="spellStart"/>
      <w:r w:rsidR="00690FBD">
        <w:t>KP</w:t>
      </w:r>
      <w:proofErr w:type="spellEnd"/>
      <w:r w:rsidR="00690FBD">
        <w:t xml:space="preserve"> 43.3</w:t>
      </w:r>
      <w:r w:rsidRPr="0054772C">
        <w:t xml:space="preserve">. </w:t>
      </w:r>
      <w:r>
        <w:t>T</w:t>
      </w:r>
      <w:r w:rsidRPr="00061A80">
        <w:t xml:space="preserve">he extent of the construction corridor within </w:t>
      </w:r>
      <w:r w:rsidRPr="0054772C">
        <w:t xml:space="preserve">Conservation Area </w:t>
      </w:r>
      <w:proofErr w:type="spellStart"/>
      <w:r w:rsidRPr="0054772C">
        <w:t>28b</w:t>
      </w:r>
      <w:proofErr w:type="spellEnd"/>
      <w:r w:rsidRPr="0054772C">
        <w:t xml:space="preserve"> - Summerhill Road (East) is 0.53 hectares excluding the existing easement</w:t>
      </w:r>
      <w:r w:rsidR="00690FBD">
        <w:t xml:space="preserve"> between </w:t>
      </w:r>
      <w:proofErr w:type="spellStart"/>
      <w:r w:rsidR="00690FBD">
        <w:t>KP</w:t>
      </w:r>
      <w:proofErr w:type="spellEnd"/>
      <w:r w:rsidR="00690FBD">
        <w:t xml:space="preserve"> 48.6 and </w:t>
      </w:r>
      <w:proofErr w:type="spellStart"/>
      <w:r w:rsidR="00690FBD">
        <w:t>KP</w:t>
      </w:r>
      <w:proofErr w:type="spellEnd"/>
      <w:r w:rsidR="00690FBD">
        <w:t xml:space="preserve"> 49.1</w:t>
      </w:r>
      <w:r w:rsidRPr="0054772C">
        <w:t>.</w:t>
      </w:r>
      <w:r>
        <w:t xml:space="preserve"> </w:t>
      </w:r>
      <w:r w:rsidRPr="00845972">
        <w:t xml:space="preserve">Native vegetation is present at the </w:t>
      </w:r>
      <w:r w:rsidR="00690FBD">
        <w:t>Merri C</w:t>
      </w:r>
      <w:r w:rsidRPr="00845972">
        <w:t>reek crossing of C</w:t>
      </w:r>
      <w:r>
        <w:t xml:space="preserve">onservation </w:t>
      </w:r>
      <w:r w:rsidRPr="00845972">
        <w:t>A</w:t>
      </w:r>
      <w:r>
        <w:t>rea</w:t>
      </w:r>
      <w:r w:rsidRPr="00845972">
        <w:t xml:space="preserve"> </w:t>
      </w:r>
      <w:proofErr w:type="spellStart"/>
      <w:r w:rsidRPr="00845972">
        <w:t>34a</w:t>
      </w:r>
      <w:proofErr w:type="spellEnd"/>
      <w:r w:rsidRPr="00845972">
        <w:t xml:space="preserve"> but is not present at C</w:t>
      </w:r>
      <w:r>
        <w:t xml:space="preserve">onservation </w:t>
      </w:r>
      <w:r w:rsidRPr="00845972">
        <w:t>A</w:t>
      </w:r>
      <w:r>
        <w:t>rea</w:t>
      </w:r>
      <w:r w:rsidRPr="00845972">
        <w:t xml:space="preserve"> </w:t>
      </w:r>
      <w:proofErr w:type="spellStart"/>
      <w:r w:rsidRPr="00845972">
        <w:t>28b</w:t>
      </w:r>
      <w:proofErr w:type="spellEnd"/>
      <w:r>
        <w:t>. Project</w:t>
      </w:r>
      <w:r w:rsidR="006C169D">
        <w:t> </w:t>
      </w:r>
      <w:r>
        <w:t xml:space="preserve">realignment has resulted in a minor reduction in the extent of the construction corridor within </w:t>
      </w:r>
      <w:r w:rsidRPr="00061A80">
        <w:t xml:space="preserve">Conservation Area </w:t>
      </w:r>
      <w:proofErr w:type="spellStart"/>
      <w:r w:rsidRPr="00061A80">
        <w:t>34a</w:t>
      </w:r>
      <w:proofErr w:type="spellEnd"/>
      <w:r>
        <w:t>. A Works in Conservation Area (</w:t>
      </w:r>
      <w:proofErr w:type="spellStart"/>
      <w:r>
        <w:t>WICA</w:t>
      </w:r>
      <w:proofErr w:type="spellEnd"/>
      <w:r>
        <w:t xml:space="preserve">) approval is required from DELWP prior to works </w:t>
      </w:r>
      <w:proofErr w:type="gramStart"/>
      <w:r>
        <w:t>commencing, and</w:t>
      </w:r>
      <w:proofErr w:type="gramEnd"/>
      <w:r>
        <w:t xml:space="preserve"> will detail the </w:t>
      </w:r>
      <w:r w:rsidRPr="00C26B55">
        <w:t>extent of native vegetation and habitat</w:t>
      </w:r>
      <w:r>
        <w:t xml:space="preserve"> considerations. </w:t>
      </w:r>
    </w:p>
    <w:p w14:paraId="6121A7A1" w14:textId="4810C5CC" w:rsidR="00EF37F0" w:rsidRDefault="00EF37F0" w:rsidP="00EF37F0">
      <w:pPr>
        <w:pStyle w:val="BodyText"/>
      </w:pPr>
      <w:r>
        <w:lastRenderedPageBreak/>
        <w:t>Indirect impacts (from erosion/sedimentation, dust, litter, release of contaminants or soil compaction) on botanical values are expected to be minor and temporary during construction and operation of the</w:t>
      </w:r>
      <w:r w:rsidR="00375E98">
        <w:t> </w:t>
      </w:r>
      <w:r>
        <w:t xml:space="preserve">Project. </w:t>
      </w:r>
    </w:p>
    <w:p w14:paraId="6328BC54" w14:textId="4BAA02D8" w:rsidR="00EF37F0" w:rsidRDefault="00EF37F0" w:rsidP="00EF37F0">
      <w:pPr>
        <w:pStyle w:val="BodyText"/>
      </w:pPr>
      <w:r>
        <w:t xml:space="preserve">The risk of habitat fragmentation is low. The loss of habitat connectivity associated with the Project is expected to be temporary, localised, and minimal for most species. Habitat fragmentation would be minimised through measures to avoid accidental loss of habitat, and contractor awareness. Reinstatement of vegetation and topsoil management would help reduce the long-term effect of additional habitat fragmentation. </w:t>
      </w:r>
    </w:p>
    <w:p w14:paraId="2CCDD17C" w14:textId="77777777" w:rsidR="00EF37F0" w:rsidRDefault="00EF37F0" w:rsidP="00EF37F0">
      <w:pPr>
        <w:pStyle w:val="BodyText"/>
      </w:pPr>
      <w:r>
        <w:t xml:space="preserve">Dewatering drawdown is likely to be temporary, </w:t>
      </w:r>
      <w:proofErr w:type="gramStart"/>
      <w:r>
        <w:t>minor</w:t>
      </w:r>
      <w:proofErr w:type="gramEnd"/>
      <w:r>
        <w:t xml:space="preserve"> and localised, and impacts on Groundwater Dependent Ecosystems (</w:t>
      </w:r>
      <w:proofErr w:type="spellStart"/>
      <w:r>
        <w:t>GDEs</w:t>
      </w:r>
      <w:proofErr w:type="spellEnd"/>
      <w:r>
        <w:t xml:space="preserve">) are predicted to be insignificant. Refuge pools in creeks, riparian margins considered to be </w:t>
      </w:r>
      <w:proofErr w:type="spellStart"/>
      <w:r>
        <w:t>GDEs</w:t>
      </w:r>
      <w:proofErr w:type="spellEnd"/>
      <w:r>
        <w:t xml:space="preserve"> and those providing important habitat during low flow or drought conditions, are typically outside the expected area where groundwater drawdown would occur.</w:t>
      </w:r>
    </w:p>
    <w:p w14:paraId="6EEA5C42" w14:textId="7548727B" w:rsidR="00EF37F0" w:rsidRDefault="00EF37F0" w:rsidP="00EF37F0">
      <w:pPr>
        <w:pStyle w:val="BodyText"/>
      </w:pPr>
      <w:r>
        <w:t xml:space="preserve">Indirect impacts on aquatic ecology values are expected to be minor and temporary during the Project’s construction and operation. </w:t>
      </w:r>
      <w:proofErr w:type="gramStart"/>
      <w:r>
        <w:t>The majority of</w:t>
      </w:r>
      <w:proofErr w:type="gramEnd"/>
      <w:r>
        <w:t xml:space="preserve"> aquatic habitats intersected by the pipeline were deemed highly unlikely to support </w:t>
      </w:r>
      <w:proofErr w:type="spellStart"/>
      <w:r>
        <w:t>EPBC</w:t>
      </w:r>
      <w:proofErr w:type="spellEnd"/>
      <w:r>
        <w:t xml:space="preserve"> Act or </w:t>
      </w:r>
      <w:proofErr w:type="spellStart"/>
      <w:r>
        <w:t>FFG</w:t>
      </w:r>
      <w:proofErr w:type="spellEnd"/>
      <w:r>
        <w:t xml:space="preserve"> Act-listed species. The recently </w:t>
      </w:r>
      <w:proofErr w:type="spellStart"/>
      <w:r>
        <w:t>FFG</w:t>
      </w:r>
      <w:proofErr w:type="spellEnd"/>
      <w:r>
        <w:t xml:space="preserve"> Act-listed Platypus is known to exist in Jacksons Creek and have been observed </w:t>
      </w:r>
      <w:proofErr w:type="gramStart"/>
      <w:r>
        <w:t>in close proximity to</w:t>
      </w:r>
      <w:proofErr w:type="gramEnd"/>
      <w:r>
        <w:t xml:space="preserve"> the construction corridor. Although there is a direct risk of injury or death of Platypus due to open cut construction, the risk would be minimised or avoided through the implementation of a Platypus-specific</w:t>
      </w:r>
      <w:r w:rsidR="00375E98">
        <w:t> </w:t>
      </w:r>
      <w:r>
        <w:t>management measure in accordance with management guidelines from the Australian Platypus Conservancy.</w:t>
      </w:r>
    </w:p>
    <w:p w14:paraId="2FE2447E" w14:textId="7B99F00B" w:rsidR="00EF37F0" w:rsidRDefault="009B45BC" w:rsidP="00EF37F0">
      <w:pPr>
        <w:pStyle w:val="Heading5"/>
      </w:pPr>
      <w:r>
        <w:t>Biodiversity m</w:t>
      </w:r>
      <w:r w:rsidR="00EF37F0">
        <w:t>anagement measures</w:t>
      </w:r>
    </w:p>
    <w:p w14:paraId="166A5AA3" w14:textId="50C8FF38" w:rsidR="00EF37F0" w:rsidRDefault="00EF37F0" w:rsidP="00EF37F0">
      <w:pPr>
        <w:pStyle w:val="BodyText"/>
      </w:pPr>
      <w:r>
        <w:t xml:space="preserve">Application of Project environmental management measures will avoid or minimise impacts on biodiversity and habitats during construction and </w:t>
      </w:r>
      <w:proofErr w:type="gramStart"/>
      <w:r>
        <w:t>operation, and</w:t>
      </w:r>
      <w:proofErr w:type="gramEnd"/>
      <w:r>
        <w:t xml:space="preserve"> include requirements for monitoring against baseline data. Environmental management measures include measures to manage vegetation and fauna during construction, control of pest organisms, manage runoff and erosion, enhance contractor awareness, mitigate </w:t>
      </w:r>
      <w:proofErr w:type="spellStart"/>
      <w:r>
        <w:t>GDE</w:t>
      </w:r>
      <w:proofErr w:type="spellEnd"/>
      <w:r>
        <w:t xml:space="preserve"> impacts, manage reinstatement and rehabilitation and threatened species impact mitigation. </w:t>
      </w:r>
      <w:r w:rsidR="00B80251">
        <w:t>In addition, the offset strategy will also be implemented to offset the impacts that are unavoidable.</w:t>
      </w:r>
    </w:p>
    <w:p w14:paraId="15B78074" w14:textId="37CCCD9B" w:rsidR="0093207D" w:rsidRPr="0093207D" w:rsidRDefault="00EF37F0" w:rsidP="0093207D">
      <w:pPr>
        <w:pStyle w:val="BodyText"/>
      </w:pPr>
      <w:r>
        <w:t xml:space="preserve">Effects of the Project on biodiversity have been assessed and environmental management measures have been identified to minimise or avoid impacts on flora, </w:t>
      </w:r>
      <w:proofErr w:type="gramStart"/>
      <w:r>
        <w:t>fauna</w:t>
      </w:r>
      <w:proofErr w:type="gramEnd"/>
      <w:r>
        <w:t xml:space="preserve"> and aquatic values, and manage any residual impacts to biodiversity values. </w:t>
      </w:r>
    </w:p>
    <w:p w14:paraId="7182298A" w14:textId="11D1B09B" w:rsidR="007B46A3" w:rsidRDefault="007B46A3" w:rsidP="004D519B">
      <w:pPr>
        <w:pStyle w:val="Heading4"/>
      </w:pPr>
      <w:bookmarkStart w:id="74" w:name="_Toc71731134"/>
      <w:bookmarkStart w:id="75" w:name="_Toc72510155"/>
      <w:bookmarkStart w:id="76" w:name="_Toc74108855"/>
      <w:r>
        <w:t>Water and catchment values</w:t>
      </w:r>
      <w:bookmarkEnd w:id="74"/>
      <w:bookmarkEnd w:id="75"/>
      <w:bookmarkEnd w:id="76"/>
    </w:p>
    <w:p w14:paraId="73E21831" w14:textId="77777777" w:rsidR="009B45BC" w:rsidRDefault="00FE78A8" w:rsidP="009B45BC">
      <w:pPr>
        <w:pStyle w:val="BodyText"/>
      </w:pPr>
      <w:r w:rsidRPr="0058479A">
        <w:t>The evaluation objective outlined in the Minister’s scoping requirements for this EES in relation to</w:t>
      </w:r>
      <w:r w:rsidRPr="00540FAB">
        <w:t xml:space="preserve"> </w:t>
      </w:r>
      <w:r w:rsidRPr="0058479A">
        <w:t>water</w:t>
      </w:r>
      <w:r w:rsidRPr="00540FAB">
        <w:t xml:space="preserve"> </w:t>
      </w:r>
      <w:r>
        <w:t>is</w:t>
      </w:r>
      <w:r w:rsidRPr="00540FAB">
        <w:t xml:space="preserve"> ‘to maintain the functions and values of groundwater, surface water and floodplain environments and minimise effects on water quality and beneficial </w:t>
      </w:r>
      <w:proofErr w:type="gramStart"/>
      <w:r w:rsidRPr="00540FAB">
        <w:t>uses’</w:t>
      </w:r>
      <w:proofErr w:type="gramEnd"/>
      <w:r w:rsidRPr="0058479A">
        <w:t>.</w:t>
      </w:r>
      <w:r w:rsidR="009B45BC">
        <w:t xml:space="preserve"> This objective was considered and assessed by:</w:t>
      </w:r>
    </w:p>
    <w:p w14:paraId="43C71134" w14:textId="77777777" w:rsidR="009B45BC" w:rsidRDefault="009B45BC" w:rsidP="009B45BC">
      <w:pPr>
        <w:pStyle w:val="BodyBullet1"/>
      </w:pPr>
      <w:r>
        <w:t xml:space="preserve">Technical report B </w:t>
      </w:r>
      <w:r w:rsidRPr="00302B20">
        <w:rPr>
          <w:rStyle w:val="Italics"/>
        </w:rPr>
        <w:t>Surface water</w:t>
      </w:r>
    </w:p>
    <w:p w14:paraId="46EBC60A" w14:textId="77777777" w:rsidR="009B45BC" w:rsidRDefault="009B45BC" w:rsidP="009B45BC">
      <w:pPr>
        <w:pStyle w:val="BodyBullet1"/>
      </w:pPr>
      <w:r>
        <w:t xml:space="preserve">Technical report C </w:t>
      </w:r>
      <w:r w:rsidRPr="00302B20">
        <w:rPr>
          <w:rStyle w:val="Italics"/>
        </w:rPr>
        <w:t>Groundwater</w:t>
      </w:r>
    </w:p>
    <w:p w14:paraId="7AAE724D" w14:textId="67D67681" w:rsidR="00FE78A8" w:rsidRPr="0058479A" w:rsidRDefault="009B45BC" w:rsidP="003F1102">
      <w:pPr>
        <w:pStyle w:val="BodyBullet1"/>
      </w:pPr>
      <w:r>
        <w:t xml:space="preserve">Technical report D </w:t>
      </w:r>
      <w:r w:rsidRPr="00302B20">
        <w:rPr>
          <w:rStyle w:val="Italics"/>
        </w:rPr>
        <w:t>Land stability and ground movement</w:t>
      </w:r>
      <w:r>
        <w:t>.</w:t>
      </w:r>
    </w:p>
    <w:p w14:paraId="1163E2CB" w14:textId="77777777" w:rsidR="00FE78A8" w:rsidRDefault="00FE78A8" w:rsidP="00FE78A8">
      <w:pPr>
        <w:pStyle w:val="BodyText"/>
      </w:pPr>
      <w:r>
        <w:rPr>
          <w:rStyle w:val="Removedirectformatting"/>
        </w:rPr>
        <w:lastRenderedPageBreak/>
        <w:t xml:space="preserve">The proposed Project alignment would interface with existing waterways and floodplains, which could lead to impacts on flow characteristics and water quality. </w:t>
      </w:r>
      <w:r>
        <w:t xml:space="preserve">To facilitate construction of the pipeline, there is likely to be some excavations that are deeper than the groundwater table. </w:t>
      </w:r>
    </w:p>
    <w:p w14:paraId="40005219" w14:textId="77777777" w:rsidR="00FE78A8" w:rsidRDefault="00FE78A8" w:rsidP="00FE78A8">
      <w:pPr>
        <w:pStyle w:val="Heading5"/>
      </w:pPr>
      <w:r>
        <w:t>Existing conditions</w:t>
      </w:r>
    </w:p>
    <w:p w14:paraId="675A6671" w14:textId="77777777" w:rsidR="00FE78A8" w:rsidRPr="00540FAB" w:rsidRDefault="00FE78A8" w:rsidP="00FE78A8">
      <w:pPr>
        <w:pStyle w:val="BodyText"/>
      </w:pPr>
      <w:r>
        <w:t xml:space="preserve">The Project alignment crosses 23 waterways located within the Werribee River, Maribyrnong River and Yarra River catchments. The most significant waterways include Jacksons, Deep and Merri Creeks. </w:t>
      </w:r>
      <w:r w:rsidRPr="00540FAB">
        <w:t>The existing condition of Jacksons, Deep and Merri creeks is:</w:t>
      </w:r>
    </w:p>
    <w:p w14:paraId="1218E355" w14:textId="532DF6A6" w:rsidR="00FE78A8" w:rsidRDefault="00FE78A8" w:rsidP="009C673A">
      <w:pPr>
        <w:pStyle w:val="BodyBullet1"/>
      </w:pPr>
      <w:r>
        <w:t xml:space="preserve">Jacksons Creek upstream </w:t>
      </w:r>
      <w:r w:rsidRPr="007C76F4">
        <w:t xml:space="preserve">and downstream (including Maribyrnong River) exceeds the </w:t>
      </w:r>
      <w:r>
        <w:t>State Environment Protection Policy (</w:t>
      </w:r>
      <w:r w:rsidRPr="007C76F4">
        <w:t>SEPP</w:t>
      </w:r>
      <w:r>
        <w:t>)</w:t>
      </w:r>
      <w:r w:rsidRPr="007C76F4">
        <w:t xml:space="preserve"> guideline values for </w:t>
      </w:r>
      <w:proofErr w:type="gramStart"/>
      <w:r w:rsidRPr="007C76F4">
        <w:t>the majority of</w:t>
      </w:r>
      <w:proofErr w:type="gramEnd"/>
      <w:r w:rsidRPr="007C76F4">
        <w:t xml:space="preserve"> water quality parameters</w:t>
      </w:r>
      <w:r w:rsidR="00702A2A">
        <w:t xml:space="preserve">. </w:t>
      </w:r>
      <w:r w:rsidR="00702A2A" w:rsidRPr="00702A2A">
        <w:t>The riparian woodland vegetation on the west bank is intact, dense and has a healthy mix of deep-rooted trees and ground cover vegetation. The east bank is more open and exposed with limited ground storey vegetation.</w:t>
      </w:r>
      <w:r w:rsidR="00702A2A">
        <w:t xml:space="preserve"> </w:t>
      </w:r>
      <w:r w:rsidR="00702A2A" w:rsidRPr="00702A2A">
        <w:t xml:space="preserve">Within the upstream reach there is a sharp meander bend in the creek and some minor erosion of the stream banks evident. A grade rock structure providing protection to the stream bed is located immediately upstream of the Project. The Project location is within a relative straightened reach of stream. Two sections of riffles are characterised by shallow depths with fast, turbulent water agitated by rocks and vegetation. </w:t>
      </w:r>
    </w:p>
    <w:p w14:paraId="5FD5E508" w14:textId="74C1D299" w:rsidR="00FE78A8" w:rsidRDefault="00FE78A8" w:rsidP="00E905E6">
      <w:pPr>
        <w:pStyle w:val="BodyBullet1"/>
        <w:ind w:right="-170"/>
      </w:pPr>
      <w:r>
        <w:t xml:space="preserve">Deep Creek upstream and downstream (including Maribyrnong River) exceeds the SEPP guideline values for </w:t>
      </w:r>
      <w:proofErr w:type="gramStart"/>
      <w:r>
        <w:t>the majority of</w:t>
      </w:r>
      <w:proofErr w:type="gramEnd"/>
      <w:r>
        <w:t xml:space="preserve"> water quality parameters</w:t>
      </w:r>
      <w:r w:rsidR="00702A2A">
        <w:t xml:space="preserve">. </w:t>
      </w:r>
      <w:r w:rsidR="00702A2A" w:rsidRPr="00702A2A">
        <w:t>The riparian woodland vegetation of both banks is intact, dense and has a healthy mix of deep-rooted trees and ground cover vegetation. On the west side the riparian zone is protected, and the east bank is more exposed.</w:t>
      </w:r>
      <w:r w:rsidR="00702A2A">
        <w:t xml:space="preserve"> </w:t>
      </w:r>
      <w:r w:rsidR="00702A2A" w:rsidRPr="00702A2A">
        <w:t>The Project crossing location is within a relatively straightened section of the stream which extends from the Emu Creek confluence upstream and continues downstream. There is a section</w:t>
      </w:r>
      <w:r w:rsidR="00375E98">
        <w:t> </w:t>
      </w:r>
      <w:r w:rsidR="00702A2A" w:rsidRPr="00702A2A">
        <w:t>of riffles characterised by shallow depths with fast, turbulent water agitated by rocks and</w:t>
      </w:r>
      <w:r w:rsidR="00E905E6">
        <w:t xml:space="preserve"> </w:t>
      </w:r>
      <w:r w:rsidR="00702A2A" w:rsidRPr="00702A2A">
        <w:t xml:space="preserve">vegetation. </w:t>
      </w:r>
    </w:p>
    <w:p w14:paraId="2BC043BE" w14:textId="5E3B2225" w:rsidR="00FE78A8" w:rsidRDefault="00FE78A8" w:rsidP="006C169D">
      <w:pPr>
        <w:pStyle w:val="BodyBullet1"/>
      </w:pPr>
      <w:r>
        <w:t>Merri</w:t>
      </w:r>
      <w:r w:rsidRPr="00A366CA">
        <w:t xml:space="preserve"> Creek downstream exceed</w:t>
      </w:r>
      <w:r>
        <w:t>s</w:t>
      </w:r>
      <w:r w:rsidRPr="00A366CA">
        <w:t xml:space="preserve"> the SEPP guideline values for </w:t>
      </w:r>
      <w:proofErr w:type="gramStart"/>
      <w:r w:rsidRPr="00A366CA">
        <w:t>the majority of</w:t>
      </w:r>
      <w:proofErr w:type="gramEnd"/>
      <w:r w:rsidRPr="00A366CA">
        <w:t xml:space="preserve"> water quality parameters.</w:t>
      </w:r>
      <w:r w:rsidR="00702A2A">
        <w:t xml:space="preserve"> </w:t>
      </w:r>
      <w:r w:rsidR="00702A2A" w:rsidRPr="00702A2A">
        <w:t>The riparian woodland vegetation of the banks and channel is dense with a healthy mix of deep-rooted trees and ground cover vegetation along the waterway, which provides protection of both sides of the waterway.</w:t>
      </w:r>
      <w:r w:rsidR="00702A2A">
        <w:t xml:space="preserve"> </w:t>
      </w:r>
      <w:r w:rsidR="00702A2A" w:rsidRPr="00702A2A">
        <w:t>Within both the upstream and downstream reaches there are sharp meander bends. The Project crossing location is on a meandering section of Merri Creek which continues downstream, with relatively quiet water flowing through a thickly vegetated</w:t>
      </w:r>
      <w:r w:rsidR="006C169D">
        <w:t> </w:t>
      </w:r>
      <w:r w:rsidR="00702A2A" w:rsidRPr="00702A2A">
        <w:t xml:space="preserve">stream bed. There is a section of riffles characterised by shallow depths with fast, turbulent water agitated by rocks and vegetation. At the location of the construction corridor, the creek is ephemeral. </w:t>
      </w:r>
    </w:p>
    <w:p w14:paraId="09F38FB7" w14:textId="06FF680C" w:rsidR="00FE78A8" w:rsidRDefault="00FE78A8" w:rsidP="00FE78A8">
      <w:pPr>
        <w:pStyle w:val="BodyText"/>
      </w:pPr>
      <w:r w:rsidRPr="00F54E95">
        <w:t xml:space="preserve">A desktop assessment identified that </w:t>
      </w:r>
      <w:proofErr w:type="gramStart"/>
      <w:r w:rsidRPr="00F54E95">
        <w:t>the majority of</w:t>
      </w:r>
      <w:proofErr w:type="gramEnd"/>
      <w:r w:rsidRPr="00F54E95">
        <w:t xml:space="preserve"> the alignment travels through areas where depth to groundwater has been interpreted to be greater than 5 m</w:t>
      </w:r>
      <w:r w:rsidR="0033715C">
        <w:t>etres</w:t>
      </w:r>
      <w:r w:rsidRPr="00F54E95">
        <w:t>.</w:t>
      </w:r>
    </w:p>
    <w:p w14:paraId="5FDD2217" w14:textId="670B29ED" w:rsidR="00FE78A8" w:rsidRPr="003A64DF" w:rsidRDefault="0033715C" w:rsidP="004D519B">
      <w:pPr>
        <w:pStyle w:val="Heading5"/>
      </w:pPr>
      <w:r>
        <w:t>Groundwater i</w:t>
      </w:r>
      <w:r w:rsidR="00FE78A8">
        <w:t xml:space="preserve">mpact </w:t>
      </w:r>
      <w:r>
        <w:t>a</w:t>
      </w:r>
      <w:r w:rsidR="00FE78A8">
        <w:t>ssessment</w:t>
      </w:r>
    </w:p>
    <w:p w14:paraId="4171B88D" w14:textId="4040E60D" w:rsidR="00FE78A8" w:rsidRDefault="00FE78A8" w:rsidP="00FE78A8">
      <w:pPr>
        <w:pStyle w:val="BodyText"/>
      </w:pPr>
      <w:r w:rsidRPr="00540FAB">
        <w:t>The areas of potential groundwater interaction along the alignment represent approximately five per cent of the entire pipeline length</w:t>
      </w:r>
      <w:r w:rsidR="00BF2FCE">
        <w:t xml:space="preserve">. </w:t>
      </w:r>
      <w:r w:rsidR="00BF2FCE" w:rsidRPr="00E15E8E">
        <w:t>Considering the limited extent of the pipeline</w:t>
      </w:r>
      <w:r w:rsidR="00BF2FCE">
        <w:t xml:space="preserve"> </w:t>
      </w:r>
      <w:r w:rsidR="00BF2FCE" w:rsidRPr="00E15E8E">
        <w:t>below the water table, and the relatively small pipe diameter and trench depth below the</w:t>
      </w:r>
      <w:r w:rsidR="00BF2FCE">
        <w:t xml:space="preserve"> </w:t>
      </w:r>
      <w:r w:rsidR="00BF2FCE" w:rsidRPr="00E15E8E">
        <w:t xml:space="preserve">water table compared to the aquifer thickness, </w:t>
      </w:r>
      <w:r w:rsidRPr="00540FAB">
        <w:t xml:space="preserve">it is expected that groundwater local flow paths will not be significantly altered or blocked. </w:t>
      </w:r>
    </w:p>
    <w:p w14:paraId="42C1DE27" w14:textId="77777777" w:rsidR="00FE78A8" w:rsidRDefault="00FE78A8" w:rsidP="00FE78A8">
      <w:pPr>
        <w:pStyle w:val="BodyText"/>
      </w:pPr>
      <w:r>
        <w:t>G</w:t>
      </w:r>
      <w:r w:rsidRPr="00DB0EA6">
        <w:t>iven the anticipated short duration (</w:t>
      </w:r>
      <w:r>
        <w:t>less than</w:t>
      </w:r>
      <w:r w:rsidRPr="00DB0EA6">
        <w:t xml:space="preserve"> </w:t>
      </w:r>
      <w:r>
        <w:t>four</w:t>
      </w:r>
      <w:r w:rsidRPr="00DB0EA6">
        <w:t xml:space="preserve"> weeks) of dewatering activities at each</w:t>
      </w:r>
      <w:r>
        <w:t xml:space="preserve"> </w:t>
      </w:r>
      <w:r w:rsidRPr="00DB0EA6">
        <w:t xml:space="preserve">location, the consequence of impact </w:t>
      </w:r>
      <w:r>
        <w:t>on</w:t>
      </w:r>
      <w:r w:rsidRPr="00DB0EA6">
        <w:t xml:space="preserve"> a</w:t>
      </w:r>
      <w:r>
        <w:t>ny</w:t>
      </w:r>
      <w:r w:rsidRPr="00DB0EA6">
        <w:t xml:space="preserve"> surrounding bore</w:t>
      </w:r>
      <w:r>
        <w:t>s</w:t>
      </w:r>
      <w:r w:rsidRPr="00DB0EA6">
        <w:t xml:space="preserve"> is considered moderate</w:t>
      </w:r>
      <w:r>
        <w:t xml:space="preserve">, and the risk of groundwater dewatering impacting neighbouring bores is low. </w:t>
      </w:r>
      <w:r w:rsidRPr="00327078">
        <w:t>During construction dewatering, additional drawdown or</w:t>
      </w:r>
      <w:r>
        <w:t xml:space="preserve"> </w:t>
      </w:r>
      <w:r w:rsidRPr="00327078">
        <w:t xml:space="preserve">lowering of the groundwater level near a </w:t>
      </w:r>
      <w:proofErr w:type="spellStart"/>
      <w:r w:rsidRPr="00327078">
        <w:t>GDE</w:t>
      </w:r>
      <w:proofErr w:type="spellEnd"/>
      <w:r w:rsidRPr="00327078">
        <w:t xml:space="preserve"> </w:t>
      </w:r>
      <w:r>
        <w:t xml:space="preserve">such as Jacksons Creek and Merri Creek </w:t>
      </w:r>
      <w:r w:rsidRPr="00327078">
        <w:t>may cause a loss in groundwater availability that</w:t>
      </w:r>
      <w:r>
        <w:t xml:space="preserve"> </w:t>
      </w:r>
      <w:r w:rsidRPr="00327078">
        <w:t xml:space="preserve">may impact the </w:t>
      </w:r>
      <w:proofErr w:type="spellStart"/>
      <w:r w:rsidRPr="00327078">
        <w:t>GDE</w:t>
      </w:r>
      <w:proofErr w:type="spellEnd"/>
      <w:r w:rsidRPr="00327078">
        <w:t xml:space="preserve"> health and function</w:t>
      </w:r>
      <w:r>
        <w:t>. However, the risk is minor.</w:t>
      </w:r>
    </w:p>
    <w:p w14:paraId="22744B59" w14:textId="77777777" w:rsidR="00FE78A8" w:rsidRDefault="00FE78A8" w:rsidP="00FE78A8">
      <w:pPr>
        <w:pStyle w:val="BodyText"/>
      </w:pPr>
      <w:r w:rsidRPr="00A225A7">
        <w:lastRenderedPageBreak/>
        <w:t>In areas where HDD will occur below the water table aquifer (</w:t>
      </w:r>
      <w:r>
        <w:t>such as</w:t>
      </w:r>
      <w:r w:rsidRPr="00A225A7">
        <w:t xml:space="preserve"> Deep Creek)</w:t>
      </w:r>
      <w:r>
        <w:t>,</w:t>
      </w:r>
      <w:r w:rsidRPr="00A225A7">
        <w:t xml:space="preserve"> there is potentia</w:t>
      </w:r>
      <w:r>
        <w:t xml:space="preserve">l </w:t>
      </w:r>
      <w:r w:rsidRPr="00A225A7">
        <w:t>for the drilling fluids to interact with the aquifer system.</w:t>
      </w:r>
      <w:r>
        <w:t xml:space="preserve"> This would be addressed through specific management measures. Any residual impact would be low. </w:t>
      </w:r>
    </w:p>
    <w:p w14:paraId="627B4C41" w14:textId="17AFF26C" w:rsidR="00FE78A8" w:rsidRPr="007333D9" w:rsidRDefault="0033715C" w:rsidP="00FE78A8">
      <w:pPr>
        <w:pStyle w:val="Heading5"/>
      </w:pPr>
      <w:r>
        <w:t>Surface water i</w:t>
      </w:r>
      <w:r w:rsidR="00FE78A8">
        <w:t xml:space="preserve">mpact </w:t>
      </w:r>
      <w:r>
        <w:t>a</w:t>
      </w:r>
      <w:r w:rsidR="00FE78A8">
        <w:t>ssessment</w:t>
      </w:r>
    </w:p>
    <w:p w14:paraId="2F2938EC" w14:textId="348D44E1" w:rsidR="00FE78A8" w:rsidRDefault="00FE78A8" w:rsidP="00FE78A8">
      <w:pPr>
        <w:pStyle w:val="BodyText"/>
      </w:pPr>
      <w:r>
        <w:t>Twenty-three waterways are intersected by the Project alignment. Six of these were assessed as higher risk waterways and assessed in more detail. Of these, three main 'complex waterways' were identified and formed the focus of the surface water impact assessment: Jacksons, Deep and Merri</w:t>
      </w:r>
      <w:r w:rsidR="00375E98">
        <w:t> </w:t>
      </w:r>
      <w:r>
        <w:t xml:space="preserve">creeks. </w:t>
      </w:r>
    </w:p>
    <w:p w14:paraId="5B79915F" w14:textId="1885EBFB" w:rsidR="00FE78A8" w:rsidRDefault="00FE78A8" w:rsidP="00FE78A8">
      <w:pPr>
        <w:pStyle w:val="BodyText"/>
      </w:pPr>
      <w:r>
        <w:t xml:space="preserve">Potential impacts on surface water values were assessed, including erosion and changes to waterways. The crossing method at Jacksons, Deep and Merri creeks was a key factor in assessing potential impacts. Open trench construction is proposed at Jacksons and Merri creeks, and HDD is proposed at Deep Creek. </w:t>
      </w:r>
      <w:r w:rsidR="00C6522F" w:rsidRPr="00D32FFE">
        <w:t xml:space="preserve">HDD construction methodology was considered at Jacksons </w:t>
      </w:r>
      <w:proofErr w:type="gramStart"/>
      <w:r w:rsidR="00C6522F" w:rsidRPr="00D32FFE">
        <w:t>Creek</w:t>
      </w:r>
      <w:proofErr w:type="gramEnd"/>
      <w:r w:rsidR="00C6522F" w:rsidRPr="00D32FFE">
        <w:t xml:space="preserve"> but this option has been eliminated due to geological, accessibility, topographic and bore length constraints</w:t>
      </w:r>
      <w:r w:rsidR="00C6522F">
        <w:t xml:space="preserve">. For Merri Creek, geotechnical investigations indicated underlying presence of bedrock, which means that the risk of erosion is lower and open trenching can be readily managed with standard controls. </w:t>
      </w:r>
      <w:r w:rsidR="00C6522F" w:rsidRPr="00075CD8">
        <w:t>The crossing location is</w:t>
      </w:r>
      <w:r w:rsidR="00C6522F">
        <w:t xml:space="preserve"> also</w:t>
      </w:r>
      <w:r w:rsidR="00C6522F" w:rsidRPr="00075CD8">
        <w:t xml:space="preserve"> within an existing APA pipeline easement that was previously trenched. </w:t>
      </w:r>
      <w:r w:rsidRPr="00115299">
        <w:t xml:space="preserve">The </w:t>
      </w:r>
      <w:r>
        <w:t xml:space="preserve">residual </w:t>
      </w:r>
      <w:r w:rsidRPr="00115299">
        <w:t xml:space="preserve">construction impacts </w:t>
      </w:r>
      <w:r>
        <w:t>on surface water and waterways</w:t>
      </w:r>
      <w:r w:rsidRPr="00115299">
        <w:t xml:space="preserve"> are generally considered to be </w:t>
      </w:r>
      <w:r>
        <w:t>low following</w:t>
      </w:r>
      <w:r w:rsidRPr="00115299">
        <w:t xml:space="preserve"> the application of both standard control measures and additional site</w:t>
      </w:r>
      <w:r>
        <w:t>-</w:t>
      </w:r>
      <w:r w:rsidRPr="00115299">
        <w:t>specific controls</w:t>
      </w:r>
      <w:r>
        <w:t>.</w:t>
      </w:r>
    </w:p>
    <w:p w14:paraId="71528D69" w14:textId="3BAFCC72" w:rsidR="00500229" w:rsidRDefault="00500229" w:rsidP="00500229">
      <w:pPr>
        <w:pStyle w:val="BodyText"/>
      </w:pPr>
      <w:r>
        <w:t>P</w:t>
      </w:r>
      <w:r w:rsidRPr="00115299">
        <w:t xml:space="preserve">otential impacts of erosion during open trench construction </w:t>
      </w:r>
      <w:r>
        <w:t xml:space="preserve">are identified as potentially more significant for </w:t>
      </w:r>
      <w:r w:rsidRPr="00115299">
        <w:t xml:space="preserve">Jacksons Creek </w:t>
      </w:r>
      <w:r>
        <w:t xml:space="preserve">than the other waterways. This is </w:t>
      </w:r>
      <w:r w:rsidRPr="00115299">
        <w:t>due to complexities of the geomorphological processes and</w:t>
      </w:r>
      <w:r>
        <w:t xml:space="preserve"> </w:t>
      </w:r>
      <w:r w:rsidRPr="00115299">
        <w:t>the exposure to more highly erodible materials below the surface. Additional controls relating to</w:t>
      </w:r>
      <w:r>
        <w:t xml:space="preserve"> </w:t>
      </w:r>
      <w:r w:rsidRPr="00115299">
        <w:t xml:space="preserve">surface water and </w:t>
      </w:r>
      <w:r>
        <w:t>biodiversity</w:t>
      </w:r>
      <w:r w:rsidRPr="00115299">
        <w:t xml:space="preserve"> monitoring, site</w:t>
      </w:r>
      <w:r>
        <w:t>-</w:t>
      </w:r>
      <w:r w:rsidRPr="00115299">
        <w:t>specific construction management and</w:t>
      </w:r>
      <w:r>
        <w:t xml:space="preserve"> </w:t>
      </w:r>
      <w:r w:rsidRPr="00115299">
        <w:t>rehabilitation measures are essential to monitor and reduce the likelihood of unexpected</w:t>
      </w:r>
      <w:r>
        <w:t xml:space="preserve"> </w:t>
      </w:r>
      <w:r w:rsidRPr="00115299">
        <w:t>erosion occurring at this waterway crossing</w:t>
      </w:r>
      <w:r>
        <w:t xml:space="preserve">. </w:t>
      </w:r>
    </w:p>
    <w:p w14:paraId="6FC20A48" w14:textId="06EA0816" w:rsidR="006711E8" w:rsidRDefault="006711E8" w:rsidP="006711E8">
      <w:pPr>
        <w:pStyle w:val="Caption"/>
      </w:pPr>
      <w:r>
        <w:t>Figure</w:t>
      </w:r>
      <w:r w:rsidR="00FB03F8">
        <w:t> </w:t>
      </w:r>
      <w:r w:rsidR="00113B39">
        <w:fldChar w:fldCharType="begin"/>
      </w:r>
      <w:r w:rsidR="00113B39">
        <w:instrText xml:space="preserve"> SEQ Figure \* ARABIC </w:instrText>
      </w:r>
      <w:r w:rsidR="00113B39">
        <w:fldChar w:fldCharType="separate"/>
      </w:r>
      <w:r w:rsidR="00C320AC">
        <w:rPr>
          <w:noProof/>
        </w:rPr>
        <w:t>9</w:t>
      </w:r>
      <w:r w:rsidR="00113B39">
        <w:rPr>
          <w:noProof/>
        </w:rPr>
        <w:fldChar w:fldCharType="end"/>
      </w:r>
      <w:r>
        <w:tab/>
        <w:t>Jacksons Creek</w:t>
      </w:r>
    </w:p>
    <w:p w14:paraId="3CBE536C" w14:textId="188D244C" w:rsidR="006711E8" w:rsidRDefault="006711E8" w:rsidP="00375E98">
      <w:pPr>
        <w:pStyle w:val="Object"/>
      </w:pPr>
      <w:r w:rsidRPr="006711E8">
        <w:rPr>
          <w:noProof/>
        </w:rPr>
        <w:drawing>
          <wp:inline distT="0" distB="0" distL="0" distR="0" wp14:anchorId="088E0CC2" wp14:editId="398F9C6D">
            <wp:extent cx="5759450" cy="3171825"/>
            <wp:effectExtent l="0" t="0" r="0" b="9525"/>
            <wp:docPr id="14" name="Picture 14" descr="Photograph showing Jacksons Creek. In the photograph the creek travels from left to right, with the surrounding landscape including native trees and tall shrubs and 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graph showing Jacksons Creek. In the photograph the creek travels from left to right, with the surrounding landscape including native trees and tall shrubs and grasses."/>
                    <pic:cNvPicPr/>
                  </pic:nvPicPr>
                  <pic:blipFill rotWithShape="1">
                    <a:blip r:embed="rId28" cstate="hqprint">
                      <a:extLst>
                        <a:ext uri="{28A0092B-C50C-407E-A947-70E740481C1C}">
                          <a14:useLocalDpi xmlns:a14="http://schemas.microsoft.com/office/drawing/2010/main" val="0"/>
                        </a:ext>
                      </a:extLst>
                    </a:blip>
                    <a:srcRect b="26576"/>
                    <a:stretch/>
                  </pic:blipFill>
                  <pic:spPr bwMode="auto">
                    <a:xfrm>
                      <a:off x="0" y="0"/>
                      <a:ext cx="5759450" cy="3171825"/>
                    </a:xfrm>
                    <a:prstGeom prst="rect">
                      <a:avLst/>
                    </a:prstGeom>
                    <a:ln>
                      <a:noFill/>
                    </a:ln>
                    <a:extLst>
                      <a:ext uri="{53640926-AAD7-44D8-BBD7-CCE9431645EC}">
                        <a14:shadowObscured xmlns:a14="http://schemas.microsoft.com/office/drawing/2010/main"/>
                      </a:ext>
                    </a:extLst>
                  </pic:spPr>
                </pic:pic>
              </a:graphicData>
            </a:graphic>
          </wp:inline>
        </w:drawing>
      </w:r>
    </w:p>
    <w:p w14:paraId="43DF3C20" w14:textId="008A0657" w:rsidR="009064FE" w:rsidRPr="00115299" w:rsidRDefault="009064FE" w:rsidP="009064FE">
      <w:pPr>
        <w:pStyle w:val="BodyText"/>
      </w:pPr>
      <w:r w:rsidRPr="007A43F4">
        <w:lastRenderedPageBreak/>
        <w:t>Potential impacts of erosion during open trench construction for Merri Creek are associated with identified sensitive downstream receptors. Given the ephemeral nature of the waterway in this reach and the presence of basalt at shallow depths at Merri Creek to limit the depth and extent of future bed erosion, the impacts can be more readily managed than compared to Jacksons Creek. Whilst there remains low residual impact to unexpected erosion associated with the works, any potential impact to water quality would be expected to be short term and localised and promptly remediated to reduce the downstream extent and magnitude of the impact</w:t>
      </w:r>
      <w:r>
        <w:t>.</w:t>
      </w:r>
    </w:p>
    <w:p w14:paraId="66127C7A" w14:textId="77777777" w:rsidR="009064FE" w:rsidRDefault="009064FE" w:rsidP="009064FE">
      <w:pPr>
        <w:pStyle w:val="BodyText"/>
      </w:pPr>
      <w:r>
        <w:t>Potential</w:t>
      </w:r>
      <w:r w:rsidRPr="00115299">
        <w:t xml:space="preserve"> impacts due to permanent changes to the waterways</w:t>
      </w:r>
      <w:r>
        <w:t xml:space="preserve"> are also identified as potentially more significant for bed and bank erosion at Jacksons Creek, than the other waterways. </w:t>
      </w:r>
      <w:r w:rsidRPr="0041077A">
        <w:t>This</w:t>
      </w:r>
      <w:r>
        <w:t xml:space="preserve"> can be </w:t>
      </w:r>
      <w:r w:rsidRPr="0041077A">
        <w:t xml:space="preserve">reduced </w:t>
      </w:r>
      <w:r>
        <w:t xml:space="preserve">by </w:t>
      </w:r>
      <w:r w:rsidRPr="0041077A">
        <w:t>additional design,</w:t>
      </w:r>
      <w:r>
        <w:t xml:space="preserve"> </w:t>
      </w:r>
      <w:r w:rsidRPr="0041077A">
        <w:t>construction and rehabilitation management measures implemented for Jacksons Creek</w:t>
      </w:r>
      <w:r>
        <w:t xml:space="preserve"> to mitigate future erosion and prevent permanent changes</w:t>
      </w:r>
      <w:r w:rsidRPr="0041077A">
        <w:t>.</w:t>
      </w:r>
    </w:p>
    <w:p w14:paraId="21086657" w14:textId="77777777" w:rsidR="00FE78A8" w:rsidRDefault="00FE78A8" w:rsidP="00FE78A8">
      <w:pPr>
        <w:pStyle w:val="Heading5"/>
      </w:pPr>
      <w:r>
        <w:t>Management measures</w:t>
      </w:r>
    </w:p>
    <w:p w14:paraId="47F1641B" w14:textId="12136A5C" w:rsidR="0033715C" w:rsidRPr="0093207D" w:rsidRDefault="00FE78A8" w:rsidP="0093207D">
      <w:pPr>
        <w:pStyle w:val="BodyText"/>
      </w:pPr>
      <w:r>
        <w:t>Project environmental management measures would be implemented to minimise impacts that could lead to changes to surface water quality, flows and flooding, and erosion and damage to property and infrastructure. These include requirements for managing runoff from adjacent construction areas, managing discharge from dewatering activities or spills, waterway and floodplain function management during construction, site rehabilitation measures for disturbance caused by open cut trench construction, implementing a monitoring program in Jacksons Creek and Merri Creek, site-specific design and construction management measures at Jacksons Creek, and a Flood Management and Response Plan for Jacksons Creek, Deep Creek, Kalkallo Creek and Merri Creek.</w:t>
      </w:r>
    </w:p>
    <w:p w14:paraId="4726772D" w14:textId="03F19FE4" w:rsidR="007B46A3" w:rsidRDefault="007B46A3" w:rsidP="007B46A3">
      <w:pPr>
        <w:pStyle w:val="Heading4"/>
      </w:pPr>
      <w:bookmarkStart w:id="77" w:name="_Toc71731135"/>
      <w:bookmarkStart w:id="78" w:name="_Toc72510156"/>
      <w:bookmarkStart w:id="79" w:name="_Toc74108856"/>
      <w:r>
        <w:t>Cultural heritage</w:t>
      </w:r>
      <w:bookmarkEnd w:id="77"/>
      <w:bookmarkEnd w:id="78"/>
      <w:bookmarkEnd w:id="79"/>
    </w:p>
    <w:p w14:paraId="153B8A4A" w14:textId="2B5B15D1" w:rsidR="006D41F3" w:rsidRDefault="006D41F3" w:rsidP="006D41F3">
      <w:pPr>
        <w:pStyle w:val="BodyText"/>
      </w:pPr>
      <w:r w:rsidRPr="00540FAB">
        <w:t>The evaluation objective outlined in the Minister’s scoping requirements for this EES in relation to cultural heritage</w:t>
      </w:r>
      <w:r>
        <w:t xml:space="preserve"> is</w:t>
      </w:r>
      <w:r w:rsidRPr="00540FAB">
        <w:t xml:space="preserve"> ‘to avoid, or minimise where avoidance is not possible, adverse effects on Aboriginal and historic cultural heritage </w:t>
      </w:r>
      <w:proofErr w:type="gramStart"/>
      <w:r w:rsidRPr="00540FAB">
        <w:t>values’</w:t>
      </w:r>
      <w:proofErr w:type="gramEnd"/>
      <w:r w:rsidRPr="00540FAB">
        <w:t>.</w:t>
      </w:r>
      <w:r w:rsidRPr="006D41F3">
        <w:t xml:space="preserve"> </w:t>
      </w:r>
      <w:r>
        <w:t xml:space="preserve">This objective was considered by Technical report I </w:t>
      </w:r>
      <w:r w:rsidRPr="00302B20">
        <w:rPr>
          <w:rStyle w:val="Italics"/>
        </w:rPr>
        <w:t>Cultural heritage</w:t>
      </w:r>
      <w:r>
        <w:t>. In addition, two Cultural Heritage Management Plans (</w:t>
      </w:r>
      <w:proofErr w:type="spellStart"/>
      <w:r>
        <w:t>CHMPs</w:t>
      </w:r>
      <w:proofErr w:type="spellEnd"/>
      <w:r>
        <w:t xml:space="preserve"> 16593 and 16594) are being developed for the Project. </w:t>
      </w:r>
    </w:p>
    <w:p w14:paraId="2834FEA5" w14:textId="77777777" w:rsidR="006D41F3" w:rsidRDefault="006D41F3" w:rsidP="006D41F3">
      <w:pPr>
        <w:pStyle w:val="Heading5"/>
      </w:pPr>
      <w:r>
        <w:t>Existing conditions</w:t>
      </w:r>
    </w:p>
    <w:p w14:paraId="1419B78B" w14:textId="77777777" w:rsidR="006D41F3" w:rsidRDefault="006D41F3" w:rsidP="006D41F3">
      <w:pPr>
        <w:pStyle w:val="BodyText"/>
      </w:pPr>
      <w:r w:rsidRPr="00E66E31">
        <w:t>The Project transects multiple creeks and tributaries that have the potential to contain Aboriginal cultural heritage material</w:t>
      </w:r>
      <w:r>
        <w:t xml:space="preserve"> and places</w:t>
      </w:r>
      <w:r w:rsidRPr="001065A5">
        <w:t xml:space="preserve"> such as stone artefact scatters and scarred trees. </w:t>
      </w:r>
    </w:p>
    <w:p w14:paraId="39A2FA6E" w14:textId="77777777" w:rsidR="006D41F3" w:rsidRDefault="006D41F3" w:rsidP="006D41F3">
      <w:pPr>
        <w:pStyle w:val="BodyText"/>
      </w:pPr>
      <w:r w:rsidRPr="00DF6292">
        <w:t>Aboriginal stakeholders</w:t>
      </w:r>
      <w:r>
        <w:t xml:space="preserve"> for the Project include the </w:t>
      </w:r>
      <w:r w:rsidRPr="00004C59">
        <w:t xml:space="preserve">Registered Aboriginal Party (RAP) Wurundjeri </w:t>
      </w:r>
      <w:proofErr w:type="spellStart"/>
      <w:r w:rsidRPr="00004C59">
        <w:t>Woi</w:t>
      </w:r>
      <w:proofErr w:type="spellEnd"/>
      <w:r w:rsidRPr="00004C59">
        <w:t xml:space="preserve"> Wurrung Cultural Heritage Aboriginal Corporation (</w:t>
      </w:r>
      <w:proofErr w:type="spellStart"/>
      <w:r w:rsidRPr="00004C59">
        <w:t>WWCHAC</w:t>
      </w:r>
      <w:proofErr w:type="spellEnd"/>
      <w:r w:rsidRPr="00004C59">
        <w:t>)</w:t>
      </w:r>
      <w:r>
        <w:t xml:space="preserve"> and the Traditional Owners located on or near the Project Area. Aboriginal stakeholders</w:t>
      </w:r>
      <w:r w:rsidRPr="00DF6292">
        <w:t xml:space="preserve"> have been involved in investigations and management planning </w:t>
      </w:r>
      <w:r>
        <w:t xml:space="preserve">as the Project has progressed, including during APA's preparation of </w:t>
      </w:r>
      <w:r w:rsidRPr="003A64DF">
        <w:t xml:space="preserve">two </w:t>
      </w:r>
      <w:proofErr w:type="spellStart"/>
      <w:r w:rsidRPr="003A64DF">
        <w:t>CHMPs</w:t>
      </w:r>
      <w:proofErr w:type="spellEnd"/>
      <w:r>
        <w:t xml:space="preserve"> </w:t>
      </w:r>
      <w:r w:rsidRPr="003A64DF">
        <w:t>for the Project</w:t>
      </w:r>
      <w:r>
        <w:t xml:space="preserve">, which have informed the </w:t>
      </w:r>
      <w:r w:rsidRPr="00DF6292">
        <w:t>Aboriginal cultural heritage assessment for the EES</w:t>
      </w:r>
      <w:r>
        <w:t xml:space="preserve">. </w:t>
      </w:r>
    </w:p>
    <w:p w14:paraId="3C6E2ADF" w14:textId="77777777" w:rsidR="006D41F3" w:rsidRDefault="006D41F3" w:rsidP="006D41F3">
      <w:pPr>
        <w:pStyle w:val="BodyText"/>
      </w:pPr>
      <w:proofErr w:type="spellStart"/>
      <w:r>
        <w:t>CHMP</w:t>
      </w:r>
      <w:proofErr w:type="spellEnd"/>
      <w:r>
        <w:t xml:space="preserve"> 16593 is being prepared</w:t>
      </w:r>
      <w:r w:rsidRPr="003A64DF">
        <w:t xml:space="preserve"> in consultation with the</w:t>
      </w:r>
      <w:r>
        <w:t xml:space="preserve"> </w:t>
      </w:r>
      <w:proofErr w:type="spellStart"/>
      <w:r>
        <w:t>WWCHAC</w:t>
      </w:r>
      <w:proofErr w:type="spellEnd"/>
      <w:r>
        <w:t xml:space="preserve"> as</w:t>
      </w:r>
      <w:r w:rsidRPr="003A64DF">
        <w:t xml:space="preserve"> </w:t>
      </w:r>
      <w:r>
        <w:t xml:space="preserve">RAP </w:t>
      </w:r>
      <w:r w:rsidRPr="00F353B6">
        <w:t xml:space="preserve">for the area between </w:t>
      </w:r>
      <w:proofErr w:type="spellStart"/>
      <w:r w:rsidRPr="00F353B6">
        <w:t>KP</w:t>
      </w:r>
      <w:proofErr w:type="spellEnd"/>
      <w:r w:rsidRPr="00F353B6">
        <w:t xml:space="preserve"> 9 and </w:t>
      </w:r>
      <w:proofErr w:type="spellStart"/>
      <w:r w:rsidRPr="00F353B6">
        <w:t>KP</w:t>
      </w:r>
      <w:proofErr w:type="spellEnd"/>
      <w:r>
        <w:t xml:space="preserve"> 51. </w:t>
      </w:r>
      <w:proofErr w:type="spellStart"/>
      <w:r>
        <w:t>CHMP</w:t>
      </w:r>
      <w:proofErr w:type="spellEnd"/>
      <w:r>
        <w:t xml:space="preserve"> 16594 is being prepared in consultation with </w:t>
      </w:r>
      <w:r w:rsidRPr="003A64DF">
        <w:t>Aboriginal Victoria</w:t>
      </w:r>
      <w:r>
        <w:t xml:space="preserve"> and the Traditional Owners</w:t>
      </w:r>
      <w:r w:rsidRPr="003A64DF">
        <w:t xml:space="preserve"> </w:t>
      </w:r>
      <w:r>
        <w:t xml:space="preserve">for the area between </w:t>
      </w:r>
      <w:proofErr w:type="spellStart"/>
      <w:r>
        <w:t>KP</w:t>
      </w:r>
      <w:proofErr w:type="spellEnd"/>
      <w:r>
        <w:t xml:space="preserve"> 0 and </w:t>
      </w:r>
      <w:proofErr w:type="spellStart"/>
      <w:r>
        <w:t>KP</w:t>
      </w:r>
      <w:proofErr w:type="spellEnd"/>
      <w:r>
        <w:t xml:space="preserve"> 9 where </w:t>
      </w:r>
      <w:r w:rsidRPr="003A64DF">
        <w:t xml:space="preserve">there is no RAP. </w:t>
      </w:r>
    </w:p>
    <w:p w14:paraId="696F8FD7" w14:textId="46714807" w:rsidR="006D41F3" w:rsidRDefault="006D41F3" w:rsidP="006D41F3">
      <w:pPr>
        <w:pStyle w:val="BodyText"/>
      </w:pPr>
      <w:r w:rsidRPr="006C161D">
        <w:lastRenderedPageBreak/>
        <w:t>Thirty-seven previously registered Aboriginal places are identified within or near the construction corridor</w:t>
      </w:r>
      <w:r w:rsidR="007A43F4">
        <w:t>, based on progress to date</w:t>
      </w:r>
      <w:r w:rsidRPr="006C161D">
        <w:t>. Of the 37 registered Aboriginal places identified, 13 are located within the construction corridor and 24 are located within 50 metres of the construction corridor. Any</w:t>
      </w:r>
      <w:r w:rsidR="00375E98">
        <w:t> </w:t>
      </w:r>
      <w:r w:rsidRPr="006C161D">
        <w:t xml:space="preserve">impacts to registered Aboriginal cultural heritage must be undertaken in accordance with the management conditions of </w:t>
      </w:r>
      <w:proofErr w:type="spellStart"/>
      <w:r w:rsidRPr="006C161D">
        <w:t>CHMPs</w:t>
      </w:r>
      <w:proofErr w:type="spellEnd"/>
      <w:r w:rsidRPr="006C161D">
        <w:t xml:space="preserve"> 16593 and 16594.</w:t>
      </w:r>
    </w:p>
    <w:p w14:paraId="77EE1B58" w14:textId="08F77BB8" w:rsidR="006D41F3" w:rsidRDefault="006D41F3" w:rsidP="006D41F3">
      <w:pPr>
        <w:pStyle w:val="BodyText"/>
      </w:pPr>
      <w:r>
        <w:t>Two</w:t>
      </w:r>
      <w:r w:rsidRPr="00AA625B">
        <w:t xml:space="preserve"> historic sites are located </w:t>
      </w:r>
      <w:r>
        <w:t>within 100 m</w:t>
      </w:r>
      <w:r w:rsidR="007A43F4">
        <w:t>etres</w:t>
      </w:r>
      <w:r>
        <w:t xml:space="preserve"> of</w:t>
      </w:r>
      <w:r w:rsidRPr="00AA625B">
        <w:t xml:space="preserve"> </w:t>
      </w:r>
      <w:r>
        <w:t>the construction corridor and two sites are located within 100 m</w:t>
      </w:r>
      <w:r w:rsidR="007A43F4">
        <w:t>etres</w:t>
      </w:r>
      <w:r>
        <w:t xml:space="preserve"> of the possible </w:t>
      </w:r>
      <w:r w:rsidRPr="00AA625B">
        <w:t xml:space="preserve">access tracks </w:t>
      </w:r>
      <w:r>
        <w:t xml:space="preserve">to </w:t>
      </w:r>
      <w:r w:rsidRPr="00AA625B">
        <w:t>the north of the Project</w:t>
      </w:r>
      <w:r>
        <w:t>. O</w:t>
      </w:r>
      <w:r w:rsidRPr="00E65F64">
        <w:t>ne</w:t>
      </w:r>
      <w:r>
        <w:t xml:space="preserve"> site on </w:t>
      </w:r>
      <w:r w:rsidRPr="00E65F64">
        <w:t>the Vi</w:t>
      </w:r>
      <w:r>
        <w:t>ctorian Heritage Inventory</w:t>
      </w:r>
      <w:r w:rsidRPr="00E65F64">
        <w:t xml:space="preserve"> </w:t>
      </w:r>
      <w:r>
        <w:t xml:space="preserve">is within the construction corridor, </w:t>
      </w:r>
      <w:r w:rsidRPr="00E65F64">
        <w:t>Holden Cob</w:t>
      </w:r>
      <w:r>
        <w:t>bled Stone Road</w:t>
      </w:r>
      <w:r w:rsidR="00C320AC">
        <w:t xml:space="preserve">, shown in </w:t>
      </w:r>
      <w:r w:rsidR="00C320AC">
        <w:fldChar w:fldCharType="begin"/>
      </w:r>
      <w:r w:rsidR="00C320AC">
        <w:instrText xml:space="preserve"> REF _Ref70331044 \h </w:instrText>
      </w:r>
      <w:r w:rsidR="00C320AC">
        <w:fldChar w:fldCharType="separate"/>
      </w:r>
      <w:r w:rsidR="007829FC">
        <w:t>Figure </w:t>
      </w:r>
      <w:r w:rsidR="007829FC">
        <w:rPr>
          <w:noProof/>
        </w:rPr>
        <w:t>10</w:t>
      </w:r>
      <w:r w:rsidR="00C320AC">
        <w:fldChar w:fldCharType="end"/>
      </w:r>
      <w:r>
        <w:t xml:space="preserve">. Sections of </w:t>
      </w:r>
      <w:r w:rsidRPr="00E65F64">
        <w:t xml:space="preserve">dry-stone </w:t>
      </w:r>
      <w:r>
        <w:t xml:space="preserve">wall in poor condition </w:t>
      </w:r>
      <w:r w:rsidRPr="00E65F64">
        <w:t xml:space="preserve">were found </w:t>
      </w:r>
      <w:r>
        <w:t>inside</w:t>
      </w:r>
      <w:r w:rsidRPr="00E65F64">
        <w:t xml:space="preserve"> the construction corridor</w:t>
      </w:r>
      <w:r>
        <w:t xml:space="preserve"> but are not within heritage overlays</w:t>
      </w:r>
      <w:r w:rsidRPr="00E65F64">
        <w:t xml:space="preserve">. </w:t>
      </w:r>
    </w:p>
    <w:p w14:paraId="52C06E78" w14:textId="6C361134" w:rsidR="00812882" w:rsidRDefault="00812882" w:rsidP="00DD2249">
      <w:pPr>
        <w:pStyle w:val="Caption"/>
      </w:pPr>
      <w:bookmarkStart w:id="80" w:name="_Ref70331044"/>
      <w:r>
        <w:t>Figure</w:t>
      </w:r>
      <w:r w:rsidR="00FB03F8">
        <w:t> </w:t>
      </w:r>
      <w:r w:rsidR="00113B39">
        <w:fldChar w:fldCharType="begin"/>
      </w:r>
      <w:r w:rsidR="00113B39">
        <w:instrText xml:space="preserve"> SEQ Figure \* ARABIC </w:instrText>
      </w:r>
      <w:r w:rsidR="00113B39">
        <w:fldChar w:fldCharType="separate"/>
      </w:r>
      <w:r w:rsidR="00C320AC">
        <w:rPr>
          <w:noProof/>
        </w:rPr>
        <w:t>10</w:t>
      </w:r>
      <w:r w:rsidR="00113B39">
        <w:rPr>
          <w:noProof/>
        </w:rPr>
        <w:fldChar w:fldCharType="end"/>
      </w:r>
      <w:bookmarkEnd w:id="80"/>
      <w:r>
        <w:tab/>
        <w:t>View of section of Holden Cobbled Stone Road</w:t>
      </w:r>
    </w:p>
    <w:p w14:paraId="049C02EC" w14:textId="5D8C0E2D" w:rsidR="006D41F3" w:rsidRDefault="00812882" w:rsidP="00FB03F8">
      <w:pPr>
        <w:pStyle w:val="Object"/>
      </w:pPr>
      <w:r w:rsidRPr="00812882">
        <w:rPr>
          <w:noProof/>
        </w:rPr>
        <w:drawing>
          <wp:inline distT="0" distB="0" distL="0" distR="0" wp14:anchorId="0659382C" wp14:editId="4D0D0FBE">
            <wp:extent cx="5760000" cy="4319999"/>
            <wp:effectExtent l="0" t="0" r="0" b="4445"/>
            <wp:docPr id="2" name="Picture 2" descr="This figure contains a photograph of the Holden Cobbled Stone Road. The Road is located in the foreground of the image, with the cobblestones apparent in the middle of the road. Fenced paddocks characterise the landscape in the background of the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figure contains a photograph of the Holden Cobbled Stone Road. The Road is located in the foreground of the image, with the cobblestones apparent in the middle of the road. Fenced paddocks characterise the landscape in the background of the photograph."/>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00" cy="4319999"/>
                    </a:xfrm>
                    <a:prstGeom prst="rect">
                      <a:avLst/>
                    </a:prstGeom>
                  </pic:spPr>
                </pic:pic>
              </a:graphicData>
            </a:graphic>
          </wp:inline>
        </w:drawing>
      </w:r>
    </w:p>
    <w:p w14:paraId="6108C7BC" w14:textId="77777777" w:rsidR="00FB03F8" w:rsidRPr="00FB03F8" w:rsidRDefault="00FB03F8" w:rsidP="00E02518">
      <w:pPr>
        <w:pStyle w:val="BodyText"/>
      </w:pPr>
    </w:p>
    <w:p w14:paraId="7028C643" w14:textId="77777777" w:rsidR="006D41F3" w:rsidRDefault="006D41F3" w:rsidP="00CD3186">
      <w:pPr>
        <w:pStyle w:val="Heading5"/>
      </w:pPr>
      <w:r>
        <w:lastRenderedPageBreak/>
        <w:t>Impact assessment</w:t>
      </w:r>
    </w:p>
    <w:p w14:paraId="674AF0D3" w14:textId="30D88265" w:rsidR="006D41F3" w:rsidRDefault="006D41F3" w:rsidP="006D41F3">
      <w:pPr>
        <w:pStyle w:val="BodyText"/>
      </w:pPr>
      <w:r>
        <w:t xml:space="preserve">The impact of clearing the construction corridor and trenching would involve </w:t>
      </w:r>
      <w:r w:rsidR="006429E8">
        <w:t xml:space="preserve">potential disturbance </w:t>
      </w:r>
      <w:r>
        <w:t xml:space="preserve">of Aboriginal cultural heritage deposits within the construction corridor. The impact on historical and research significance of Aboriginal places was assessed based on the nature of the known places and the potential impact of </w:t>
      </w:r>
      <w:r w:rsidR="00021FC6">
        <w:t xml:space="preserve">Project </w:t>
      </w:r>
      <w:r>
        <w:t xml:space="preserve">activities on those places. </w:t>
      </w:r>
      <w:r w:rsidRPr="006C161D">
        <w:t xml:space="preserve">The extent of impact is determined by the number and location of registered places in the construction corridor, with some of the 13 places fully destroyed, some partially destroyed, and some previously salvaged or removed. </w:t>
      </w:r>
      <w:r>
        <w:t>No indirect effects on Aboriginal cultural heritage have been identified.</w:t>
      </w:r>
    </w:p>
    <w:p w14:paraId="4105AB7D" w14:textId="26D27D43" w:rsidR="006D41F3" w:rsidRDefault="006D41F3" w:rsidP="006D41F3">
      <w:pPr>
        <w:pStyle w:val="BodyText"/>
      </w:pPr>
      <w:r>
        <w:t>M</w:t>
      </w:r>
      <w:r w:rsidRPr="003F7D73">
        <w:t xml:space="preserve">itigation measures </w:t>
      </w:r>
      <w:r>
        <w:t xml:space="preserve">would be confirmed through the final </w:t>
      </w:r>
      <w:proofErr w:type="spellStart"/>
      <w:r>
        <w:t>CHMP</w:t>
      </w:r>
      <w:proofErr w:type="spellEnd"/>
      <w:r>
        <w:t xml:space="preserve"> </w:t>
      </w:r>
      <w:r w:rsidR="006429E8">
        <w:t>an</w:t>
      </w:r>
      <w:r w:rsidR="00603523">
        <w:t>d</w:t>
      </w:r>
      <w:r w:rsidR="006429E8">
        <w:t xml:space="preserve"> through consultation with the RAP, Aboriginal </w:t>
      </w:r>
      <w:proofErr w:type="gramStart"/>
      <w:r w:rsidR="006429E8">
        <w:t>Victoria</w:t>
      </w:r>
      <w:proofErr w:type="gramEnd"/>
      <w:r w:rsidR="006429E8">
        <w:t xml:space="preserve"> and Traditional Owners respectively, </w:t>
      </w:r>
      <w:r>
        <w:t xml:space="preserve">and </w:t>
      </w:r>
      <w:r w:rsidRPr="003F7D73">
        <w:t xml:space="preserve">are likely to include surface collection of artefacts, subsurface salvage, inductions for construction staff and compliance checks. </w:t>
      </w:r>
      <w:r>
        <w:t xml:space="preserve">Contingency </w:t>
      </w:r>
      <w:r w:rsidRPr="003F7D73">
        <w:t xml:space="preserve">measures </w:t>
      </w:r>
      <w:r>
        <w:t xml:space="preserve">would also provide measures to </w:t>
      </w:r>
      <w:r w:rsidRPr="003F7D73">
        <w:t xml:space="preserve">protect unidentified Aboriginal cultural heritage found </w:t>
      </w:r>
      <w:r>
        <w:t>during construction</w:t>
      </w:r>
      <w:r w:rsidRPr="003F7D73">
        <w:t>.</w:t>
      </w:r>
      <w:r>
        <w:t xml:space="preserve"> </w:t>
      </w:r>
      <w:r w:rsidRPr="006C161D">
        <w:t xml:space="preserve">Residual impacts remain as there would be a loss of Aboriginal cultural heritage values </w:t>
      </w:r>
      <w:proofErr w:type="gramStart"/>
      <w:r w:rsidRPr="006C161D">
        <w:t>as a result of</w:t>
      </w:r>
      <w:proofErr w:type="gramEnd"/>
      <w:r w:rsidRPr="006C161D">
        <w:t xml:space="preserve"> the Project. </w:t>
      </w:r>
    </w:p>
    <w:p w14:paraId="1190B647" w14:textId="77777777" w:rsidR="006D41F3" w:rsidRDefault="006D41F3" w:rsidP="006D41F3">
      <w:pPr>
        <w:pStyle w:val="BodyText"/>
      </w:pPr>
      <w:r>
        <w:t xml:space="preserve">No impacts to Holden Cobbled Stone Road are predicted due to the construction technique to bore under the road in this location. </w:t>
      </w:r>
    </w:p>
    <w:p w14:paraId="77AD696D" w14:textId="77777777" w:rsidR="006D41F3" w:rsidRDefault="006D41F3" w:rsidP="00CD3186">
      <w:pPr>
        <w:pStyle w:val="Heading5"/>
      </w:pPr>
      <w:r>
        <w:t>Management measures</w:t>
      </w:r>
    </w:p>
    <w:p w14:paraId="52B27E2C" w14:textId="77777777" w:rsidR="006D41F3" w:rsidRDefault="006D41F3" w:rsidP="006D41F3">
      <w:pPr>
        <w:pStyle w:val="BodyText"/>
      </w:pPr>
      <w:r>
        <w:t xml:space="preserve">Mitigation measures and management conditions associated with Aboriginal cultural heritage are specified within </w:t>
      </w:r>
      <w:proofErr w:type="spellStart"/>
      <w:r>
        <w:t>CHMPs</w:t>
      </w:r>
      <w:proofErr w:type="spellEnd"/>
      <w:r>
        <w:t xml:space="preserve"> 16593 and 16594 currently being prepared for the Project. These are agreed during consultation with </w:t>
      </w:r>
      <w:r w:rsidRPr="007D1F3C">
        <w:t xml:space="preserve">the RAP </w:t>
      </w:r>
      <w:proofErr w:type="spellStart"/>
      <w:r w:rsidRPr="007D1F3C">
        <w:t>WWCHAC</w:t>
      </w:r>
      <w:proofErr w:type="spellEnd"/>
      <w:r w:rsidRPr="007D1F3C">
        <w:t xml:space="preserve"> (</w:t>
      </w:r>
      <w:proofErr w:type="spellStart"/>
      <w:r w:rsidRPr="007D1F3C">
        <w:t>CHMP</w:t>
      </w:r>
      <w:proofErr w:type="spellEnd"/>
      <w:r w:rsidRPr="007D1F3C">
        <w:t xml:space="preserve"> 16593) and AV with Traditional Owner groups </w:t>
      </w:r>
      <w:r w:rsidRPr="00A81DAE">
        <w:t xml:space="preserve">Bunurong Land Council Aboriginal Corporation, Boon Wurrung Land and Sea Aboriginal Corporation </w:t>
      </w:r>
      <w:proofErr w:type="spellStart"/>
      <w:r w:rsidRPr="00A81DAE">
        <w:t>BLaSC</w:t>
      </w:r>
      <w:proofErr w:type="spellEnd"/>
      <w:r w:rsidRPr="00A81DAE">
        <w:t xml:space="preserve"> and </w:t>
      </w:r>
      <w:proofErr w:type="spellStart"/>
      <w:r w:rsidRPr="00A81DAE">
        <w:t>WWCHAC</w:t>
      </w:r>
      <w:proofErr w:type="spellEnd"/>
      <w:r w:rsidRPr="007D1F3C">
        <w:t xml:space="preserve"> (</w:t>
      </w:r>
      <w:proofErr w:type="spellStart"/>
      <w:r w:rsidRPr="007D1F3C">
        <w:t>CHMP</w:t>
      </w:r>
      <w:proofErr w:type="spellEnd"/>
      <w:r w:rsidRPr="007D1F3C">
        <w:t xml:space="preserve"> 16594</w:t>
      </w:r>
      <w:r>
        <w:t>).</w:t>
      </w:r>
      <w:r w:rsidRPr="00DD196B">
        <w:t xml:space="preserve"> </w:t>
      </w:r>
    </w:p>
    <w:p w14:paraId="678FA9B2" w14:textId="4DCC4734" w:rsidR="0093207D" w:rsidRPr="0093207D" w:rsidRDefault="006D41F3" w:rsidP="0093207D">
      <w:pPr>
        <w:pStyle w:val="BodyText"/>
      </w:pPr>
      <w:r>
        <w:t>Based on the Project's construction methodology, there are no anticipated residual construction impacts to H</w:t>
      </w:r>
      <w:r w:rsidRPr="00E92169">
        <w:t>olden Cobbled Stone Road</w:t>
      </w:r>
      <w:r>
        <w:t xml:space="preserve">. However, as the Project works are being undertaken within the curtilage of a listed historic site, a Consent application is required and any conditions on the Consent would be implemented through the Project CEMP. An unexpected finds procedure within the CEMP would provide the contingency measures to be followed if any unknown historic heritage site, </w:t>
      </w:r>
      <w:proofErr w:type="gramStart"/>
      <w:r>
        <w:t>value</w:t>
      </w:r>
      <w:proofErr w:type="gramEnd"/>
      <w:r>
        <w:t xml:space="preserve"> or object is identified during construction.</w:t>
      </w:r>
    </w:p>
    <w:p w14:paraId="3FBD71C4" w14:textId="50A6A599" w:rsidR="007B46A3" w:rsidRDefault="007B46A3" w:rsidP="007B46A3">
      <w:pPr>
        <w:pStyle w:val="Heading4"/>
      </w:pPr>
      <w:bookmarkStart w:id="81" w:name="_Toc71731136"/>
      <w:bookmarkStart w:id="82" w:name="_Toc72510157"/>
      <w:bookmarkStart w:id="83" w:name="_Toc74108857"/>
      <w:r>
        <w:t>Social, economic, amenity and land use</w:t>
      </w:r>
      <w:bookmarkEnd w:id="81"/>
      <w:bookmarkEnd w:id="82"/>
      <w:bookmarkEnd w:id="83"/>
    </w:p>
    <w:p w14:paraId="2F66054F" w14:textId="77777777" w:rsidR="006D41F3" w:rsidRDefault="006D41F3" w:rsidP="006D41F3">
      <w:pPr>
        <w:pStyle w:val="BodyText"/>
      </w:pPr>
      <w:r w:rsidRPr="00E92AE0">
        <w:t xml:space="preserve">The evaluation objective outlined in the Minister’s scoping requirements for this EES in relation to </w:t>
      </w:r>
      <w:r>
        <w:t>social, economic, amenity and land use</w:t>
      </w:r>
      <w:r w:rsidRPr="00E92AE0">
        <w:t xml:space="preserve"> </w:t>
      </w:r>
      <w:r>
        <w:t>is</w:t>
      </w:r>
      <w:r w:rsidRPr="00E92AE0">
        <w:t xml:space="preserve"> </w:t>
      </w:r>
      <w:r w:rsidRPr="00540FAB">
        <w:t>‘to</w:t>
      </w:r>
      <w:r w:rsidRPr="006D41F3">
        <w:t xml:space="preserve"> minimise potential adverse social, economic, amenity and land use effects at local and regional </w:t>
      </w:r>
      <w:proofErr w:type="gramStart"/>
      <w:r w:rsidRPr="006D41F3">
        <w:t>scales</w:t>
      </w:r>
      <w:r>
        <w:t>'</w:t>
      </w:r>
      <w:proofErr w:type="gramEnd"/>
      <w:r w:rsidRPr="006D41F3">
        <w:t>.</w:t>
      </w:r>
      <w:r>
        <w:t xml:space="preserve"> This objective was considered and assessed by:</w:t>
      </w:r>
    </w:p>
    <w:p w14:paraId="77E67313" w14:textId="77777777" w:rsidR="006D41F3" w:rsidRDefault="006D41F3" w:rsidP="006D41F3">
      <w:pPr>
        <w:pStyle w:val="BodyBullet1"/>
      </w:pPr>
      <w:r>
        <w:t xml:space="preserve">Technical report D </w:t>
      </w:r>
      <w:r w:rsidRPr="00302B20">
        <w:rPr>
          <w:rStyle w:val="Italics"/>
        </w:rPr>
        <w:t>Land stability and ground movement</w:t>
      </w:r>
    </w:p>
    <w:p w14:paraId="5ED995C3" w14:textId="77777777" w:rsidR="006D41F3" w:rsidRDefault="006D41F3" w:rsidP="006D41F3">
      <w:pPr>
        <w:pStyle w:val="BodyBullet1"/>
      </w:pPr>
      <w:r>
        <w:t xml:space="preserve">Technical report F </w:t>
      </w:r>
      <w:r w:rsidRPr="00302B20">
        <w:rPr>
          <w:rStyle w:val="Italics"/>
        </w:rPr>
        <w:t>Noise and vibration</w:t>
      </w:r>
    </w:p>
    <w:p w14:paraId="5C534F67" w14:textId="77777777" w:rsidR="006D41F3" w:rsidRDefault="006D41F3" w:rsidP="006D41F3">
      <w:pPr>
        <w:pStyle w:val="BodyBullet1"/>
      </w:pPr>
      <w:r>
        <w:t xml:space="preserve">Technical report G </w:t>
      </w:r>
      <w:r w:rsidRPr="00302B20">
        <w:rPr>
          <w:rStyle w:val="Italics"/>
        </w:rPr>
        <w:t>Air quality</w:t>
      </w:r>
    </w:p>
    <w:p w14:paraId="0319FC09" w14:textId="77777777" w:rsidR="006D41F3" w:rsidRDefault="006D41F3" w:rsidP="006D41F3">
      <w:pPr>
        <w:pStyle w:val="BodyBullet1"/>
      </w:pPr>
      <w:r>
        <w:t xml:space="preserve">Technical report J </w:t>
      </w:r>
      <w:r w:rsidRPr="00302B20">
        <w:rPr>
          <w:rStyle w:val="Italics"/>
        </w:rPr>
        <w:t>Landscape and visual</w:t>
      </w:r>
    </w:p>
    <w:p w14:paraId="16E6A20A" w14:textId="77777777" w:rsidR="006D41F3" w:rsidRDefault="006D41F3" w:rsidP="006D41F3">
      <w:pPr>
        <w:pStyle w:val="BodyBullet1"/>
      </w:pPr>
      <w:r>
        <w:t xml:space="preserve">Technical report K </w:t>
      </w:r>
      <w:r w:rsidRPr="00302B20">
        <w:rPr>
          <w:rStyle w:val="Italics"/>
        </w:rPr>
        <w:t>Land use</w:t>
      </w:r>
    </w:p>
    <w:p w14:paraId="28E31907" w14:textId="77777777" w:rsidR="006D41F3" w:rsidRDefault="006D41F3" w:rsidP="006D41F3">
      <w:pPr>
        <w:pStyle w:val="BodyBullet1"/>
      </w:pPr>
      <w:r>
        <w:t xml:space="preserve">Technical report L </w:t>
      </w:r>
      <w:r w:rsidRPr="00302B20">
        <w:rPr>
          <w:rStyle w:val="Italics"/>
        </w:rPr>
        <w:t>Social</w:t>
      </w:r>
      <w:r>
        <w:t>.</w:t>
      </w:r>
    </w:p>
    <w:p w14:paraId="578C612E" w14:textId="77777777" w:rsidR="003B6D68" w:rsidRDefault="0087275E" w:rsidP="0087275E">
      <w:pPr>
        <w:pStyle w:val="Heading5"/>
      </w:pPr>
      <w:r>
        <w:lastRenderedPageBreak/>
        <w:t xml:space="preserve">Land stability and ground movement </w:t>
      </w:r>
    </w:p>
    <w:p w14:paraId="7C555F5B" w14:textId="39FB5EB1" w:rsidR="0087275E" w:rsidRDefault="003B6D68" w:rsidP="003B6D68">
      <w:pPr>
        <w:pStyle w:val="Heading6"/>
      </w:pPr>
      <w:r>
        <w:t>E</w:t>
      </w:r>
      <w:r w:rsidR="0087275E">
        <w:t>xisting conditions</w:t>
      </w:r>
    </w:p>
    <w:p w14:paraId="7238323F" w14:textId="264DC48E" w:rsidR="0087275E" w:rsidRDefault="0087275E" w:rsidP="0087275E">
      <w:pPr>
        <w:pStyle w:val="BodyText"/>
      </w:pPr>
      <w:r>
        <w:t xml:space="preserve">The construction corridor is characterised by multiple Quaternary basalt volcanic eruption points that protrude above extensive lava plains produced by repeated volcanic episodes over long time periods. Within this predominantly volcanic setting, ranges of low hills protrude above the basalt plains, composed of pre-volcanic basement rocks and Neogene cover units. Approximately 90 percent of the soil samples tested comprise fine grained (cohesive) soil. The remaining 10 percent comprise granular material </w:t>
      </w:r>
      <w:r w:rsidRPr="00540FAB">
        <w:t>(</w:t>
      </w:r>
      <w:proofErr w:type="spellStart"/>
      <w:proofErr w:type="gramStart"/>
      <w:r w:rsidR="00CE5CD3">
        <w:t>ie</w:t>
      </w:r>
      <w:proofErr w:type="spellEnd"/>
      <w:proofErr w:type="gramEnd"/>
      <w:r w:rsidRPr="00540FAB">
        <w:t xml:space="preserve"> sand or gravel)</w:t>
      </w:r>
      <w:r>
        <w:t xml:space="preserve"> as the primary component</w:t>
      </w:r>
      <w:r w:rsidR="006C360D">
        <w:t>.</w:t>
      </w:r>
    </w:p>
    <w:p w14:paraId="70EC9564" w14:textId="77777777" w:rsidR="0087275E" w:rsidRPr="008C6E49" w:rsidRDefault="0087275E" w:rsidP="0087275E">
      <w:pPr>
        <w:pStyle w:val="BodyText"/>
      </w:pPr>
      <w:r>
        <w:t xml:space="preserve">The topography of the study area is generally flat to gently undulating, </w:t>
      </w:r>
      <w:proofErr w:type="gramStart"/>
      <w:r>
        <w:t>with the exception of</w:t>
      </w:r>
      <w:proofErr w:type="gramEnd"/>
      <w:r>
        <w:t xml:space="preserve"> significant low elevations at Jacksons Creek and Deep Creek where the valley sides are steep compared to the surrounding plains. </w:t>
      </w:r>
    </w:p>
    <w:p w14:paraId="3F2C1CEE" w14:textId="1459C695" w:rsidR="0087275E" w:rsidRDefault="003B6D68" w:rsidP="003B6D68">
      <w:pPr>
        <w:pStyle w:val="Heading6"/>
      </w:pPr>
      <w:bookmarkStart w:id="84" w:name="_Ref58504625"/>
      <w:bookmarkStart w:id="85" w:name="_Toc59444619"/>
      <w:r>
        <w:t>I</w:t>
      </w:r>
      <w:r w:rsidR="0087275E">
        <w:t>mpact assessment</w:t>
      </w:r>
    </w:p>
    <w:bookmarkEnd w:id="84"/>
    <w:bookmarkEnd w:id="85"/>
    <w:p w14:paraId="1A5EBD31" w14:textId="77777777" w:rsidR="0087275E" w:rsidRDefault="0087275E" w:rsidP="0087275E">
      <w:pPr>
        <w:pStyle w:val="BodyText"/>
      </w:pPr>
      <w:r>
        <w:t xml:space="preserve">Key land stability and ground movement impacts include trench wall instability, ground movement (or volume loss) and impacts on slope stability. Following mitigation these potential residual impacts </w:t>
      </w:r>
      <w:proofErr w:type="gramStart"/>
      <w:r>
        <w:t>are considered to be</w:t>
      </w:r>
      <w:proofErr w:type="gramEnd"/>
      <w:r>
        <w:t xml:space="preserve"> low. </w:t>
      </w:r>
    </w:p>
    <w:p w14:paraId="3ADAEAF3" w14:textId="77777777" w:rsidR="008A7BD1" w:rsidRDefault="0087275E" w:rsidP="0087275E">
      <w:pPr>
        <w:pStyle w:val="BodyText"/>
      </w:pPr>
      <w:r>
        <w:t xml:space="preserve">Excavation of deep trenches during construction can result in wall instability. Without any mitigation measures, wall collapse </w:t>
      </w:r>
      <w:r w:rsidRPr="00BB4C14">
        <w:t>could result in a large amount of land disturbance to a localised area near the</w:t>
      </w:r>
      <w:r>
        <w:t xml:space="preserve"> </w:t>
      </w:r>
      <w:r w:rsidRPr="00BB4C14">
        <w:t>trench.</w:t>
      </w:r>
      <w:r>
        <w:t xml:space="preserve"> T</w:t>
      </w:r>
      <w:r w:rsidRPr="00A73323">
        <w:t xml:space="preserve">rench excavations required for the Project are slightly deeper </w:t>
      </w:r>
      <w:r>
        <w:t>(</w:t>
      </w:r>
      <w:r w:rsidRPr="00A73323">
        <w:t>approximately 2 metres</w:t>
      </w:r>
      <w:r>
        <w:t xml:space="preserve">) </w:t>
      </w:r>
      <w:r w:rsidRPr="00A73323">
        <w:t xml:space="preserve">than </w:t>
      </w:r>
      <w:r>
        <w:t>usual shallow trenches</w:t>
      </w:r>
      <w:r w:rsidRPr="00A73323">
        <w:t xml:space="preserve"> (less than 1.2 metres). If the trench is not supported through trench shields, struts or anchors, trench stability will depend on the strength of the material through which the trench is excavated.</w:t>
      </w:r>
      <w:r>
        <w:t xml:space="preserve"> </w:t>
      </w:r>
    </w:p>
    <w:p w14:paraId="3F8CB567" w14:textId="61F19F0B" w:rsidR="0087275E" w:rsidRDefault="008A7BD1" w:rsidP="0087275E">
      <w:pPr>
        <w:pStyle w:val="BodyText"/>
      </w:pPr>
      <w:r w:rsidRPr="008A7BD1">
        <w:t xml:space="preserve">Although </w:t>
      </w:r>
      <w:proofErr w:type="gramStart"/>
      <w:r w:rsidRPr="008A7BD1">
        <w:t>the majority of</w:t>
      </w:r>
      <w:proofErr w:type="gramEnd"/>
      <w:r w:rsidRPr="008A7BD1">
        <w:t xml:space="preserve"> trench excavation through fine grained clays or silts are expected to be stable, the potential for unfavourable conditions, such as encountering granular soils, requires management to reduce potential impacts on nearby land. There is insufficient geotechnical information to determine specific locations where granular soils may be encountered along the alignment. It is considered that there is potential for granular soils to be encountered at any location along the alignment. </w:t>
      </w:r>
      <w:r w:rsidR="0087275E">
        <w:t>Encountering cohesionless granular material in trench construction could result in trench wall collapse and result in localised impact on nearby land.</w:t>
      </w:r>
      <w:r w:rsidR="0087275E" w:rsidRPr="00A852B3">
        <w:t xml:space="preserve"> </w:t>
      </w:r>
    </w:p>
    <w:p w14:paraId="1417F787" w14:textId="77777777" w:rsidR="0087275E" w:rsidRDefault="0087275E" w:rsidP="0087275E">
      <w:pPr>
        <w:pStyle w:val="BodyText"/>
      </w:pPr>
      <w:r>
        <w:t xml:space="preserve">Ground conditions are expected to vary </w:t>
      </w:r>
      <w:r w:rsidRPr="0045778F">
        <w:t>between three main ground condition types, which have different implications on ground movement (or volume loss)</w:t>
      </w:r>
      <w:r>
        <w:t xml:space="preserve">. Trenchless crossings may result in a minor (only aesthetic) level of asset damage </w:t>
      </w:r>
      <w:proofErr w:type="gramStart"/>
      <w:r>
        <w:t>as a result of</w:t>
      </w:r>
      <w:proofErr w:type="gramEnd"/>
      <w:r>
        <w:t xml:space="preserve"> ground strains. The potential residual impact associated with volume loss at trenchless crossings </w:t>
      </w:r>
      <w:proofErr w:type="gramStart"/>
      <w:r>
        <w:t xml:space="preserve">is </w:t>
      </w:r>
      <w:r w:rsidRPr="000F6BC7">
        <w:t>considered to be</w:t>
      </w:r>
      <w:proofErr w:type="gramEnd"/>
      <w:r w:rsidRPr="000F6BC7">
        <w:t xml:space="preserve"> minor and is unlikely to affect the serviceability of the utilities assessed</w:t>
      </w:r>
      <w:r>
        <w:t>.</w:t>
      </w:r>
    </w:p>
    <w:p w14:paraId="767FB7FA" w14:textId="51CE79FB" w:rsidR="0087275E" w:rsidRDefault="003B6D68" w:rsidP="00E02518">
      <w:pPr>
        <w:pStyle w:val="Heading6"/>
        <w:pageBreakBefore/>
      </w:pPr>
      <w:r>
        <w:lastRenderedPageBreak/>
        <w:t>M</w:t>
      </w:r>
      <w:r w:rsidR="0087275E">
        <w:t>anagement measures</w:t>
      </w:r>
    </w:p>
    <w:p w14:paraId="242BC4DC" w14:textId="5C054FD0" w:rsidR="0093207D" w:rsidRDefault="0087275E" w:rsidP="0093207D">
      <w:pPr>
        <w:pStyle w:val="BodyText"/>
      </w:pPr>
      <w:r w:rsidRPr="00596759">
        <w:t xml:space="preserve">Application of the Project </w:t>
      </w:r>
      <w:r w:rsidRPr="008079A8">
        <w:t xml:space="preserve">environmental management measures </w:t>
      </w:r>
      <w:r w:rsidRPr="00596759">
        <w:t>would minimise impacts associated with</w:t>
      </w:r>
      <w:r>
        <w:t xml:space="preserve"> land stability and ground movement. These include requirements for </w:t>
      </w:r>
      <w:r w:rsidR="00315A49">
        <w:t>HDD trenchless bore management</w:t>
      </w:r>
      <w:r>
        <w:t xml:space="preserve">, adherence to third party asset clearances, development and implementation of a sodic </w:t>
      </w:r>
      <w:proofErr w:type="gramStart"/>
      <w:r>
        <w:t>soils</w:t>
      </w:r>
      <w:proofErr w:type="gramEnd"/>
      <w:r>
        <w:t xml:space="preserve"> management plan, and provision of trench support or battering to reduce the potential for slope or trench wall failure and associated impacts. </w:t>
      </w:r>
      <w:r w:rsidR="002C4956">
        <w:t>Following implementation of the Project environmental management measures</w:t>
      </w:r>
      <w:r w:rsidR="002C4956" w:rsidRPr="00596759">
        <w:t xml:space="preserve"> </w:t>
      </w:r>
      <w:r w:rsidR="002C4956">
        <w:t>the potential residual impacts associated with land stability and ground movement are not considered to have a significant impact.</w:t>
      </w:r>
    </w:p>
    <w:p w14:paraId="76A02E25" w14:textId="6ADB5A57" w:rsidR="003B6D68" w:rsidRDefault="003B6D68" w:rsidP="003B6D68">
      <w:pPr>
        <w:pStyle w:val="Heading5"/>
      </w:pPr>
      <w:r>
        <w:t xml:space="preserve">Noise and vibration </w:t>
      </w:r>
    </w:p>
    <w:p w14:paraId="40E498B5" w14:textId="5ECF9E51" w:rsidR="003B6D68" w:rsidRDefault="003B6D68" w:rsidP="003B6D68">
      <w:pPr>
        <w:pStyle w:val="Heading6"/>
      </w:pPr>
      <w:r>
        <w:t>Existing conditions</w:t>
      </w:r>
    </w:p>
    <w:p w14:paraId="7A173055" w14:textId="385C9287" w:rsidR="003B6D68" w:rsidRDefault="003B6D68" w:rsidP="003B6D68">
      <w:pPr>
        <w:pStyle w:val="BodyText"/>
      </w:pPr>
      <w:r w:rsidRPr="003D1944">
        <w:t>Within the study area</w:t>
      </w:r>
      <w:r w:rsidR="00FC0DCE">
        <w:t xml:space="preserve"> defined as a corridor of approximately one kilometre from the centre of the Project construction corridor</w:t>
      </w:r>
      <w:r w:rsidRPr="003D1944">
        <w:t>, 525 sensitive receptors were identified</w:t>
      </w:r>
      <w:r w:rsidR="006429E8">
        <w:t xml:space="preserve"> as potentially impacted by construction noise</w:t>
      </w:r>
      <w:r>
        <w:t>. 521 are rural-residential or residential activities. B</w:t>
      </w:r>
      <w:r w:rsidRPr="003D1944">
        <w:t>ackground noise levels during the daytime are expected to be between 40 – 45 dB(A) and during the night-time between 30</w:t>
      </w:r>
      <w:r w:rsidR="00FB03F8">
        <w:t>–</w:t>
      </w:r>
      <w:r w:rsidRPr="003D1944">
        <w:t>35 dB(A).</w:t>
      </w:r>
      <w:r>
        <w:t xml:space="preserve"> </w:t>
      </w:r>
      <w:r w:rsidRPr="003D1944">
        <w:t xml:space="preserve">In locations surrounding the Calder Freeway </w:t>
      </w:r>
      <w:r>
        <w:t xml:space="preserve">and the Hume Freeway </w:t>
      </w:r>
      <w:r w:rsidRPr="003D1944">
        <w:t xml:space="preserve">background noise levels are expected to be around 50 dB(A) </w:t>
      </w:r>
      <w:r>
        <w:t xml:space="preserve">during daytime </w:t>
      </w:r>
      <w:r w:rsidRPr="003D1944">
        <w:t>and 40 dB(A)</w:t>
      </w:r>
      <w:r>
        <w:t xml:space="preserve"> during </w:t>
      </w:r>
      <w:r w:rsidRPr="003D1944">
        <w:t>night</w:t>
      </w:r>
      <w:r>
        <w:t>-</w:t>
      </w:r>
      <w:r w:rsidRPr="003D1944">
        <w:t>time.</w:t>
      </w:r>
      <w:r w:rsidR="00580D7A">
        <w:t xml:space="preserve"> The sensitive receptors </w:t>
      </w:r>
      <w:r w:rsidR="006359DD">
        <w:t>related to</w:t>
      </w:r>
      <w:r w:rsidR="00580D7A">
        <w:t xml:space="preserve"> construction </w:t>
      </w:r>
      <w:r w:rsidR="006359DD">
        <w:t xml:space="preserve">impacts </w:t>
      </w:r>
      <w:r w:rsidR="00580D7A">
        <w:t>are shown in</w:t>
      </w:r>
      <w:r w:rsidR="006359DD">
        <w:t xml:space="preserve"> </w:t>
      </w:r>
      <w:r w:rsidR="006359DD">
        <w:fldChar w:fldCharType="begin"/>
      </w:r>
      <w:r w:rsidR="006359DD">
        <w:instrText xml:space="preserve"> REF _Ref71209011 \h </w:instrText>
      </w:r>
      <w:r w:rsidR="006359DD">
        <w:fldChar w:fldCharType="separate"/>
      </w:r>
      <w:r w:rsidR="00E94BD2">
        <w:t>Figure </w:t>
      </w:r>
      <w:r w:rsidR="00E94BD2">
        <w:rPr>
          <w:noProof/>
        </w:rPr>
        <w:t>12</w:t>
      </w:r>
      <w:r w:rsidR="006359DD">
        <w:fldChar w:fldCharType="end"/>
      </w:r>
      <w:r w:rsidR="00580D7A">
        <w:t>.</w:t>
      </w:r>
    </w:p>
    <w:p w14:paraId="66A6267C" w14:textId="4D1CA062" w:rsidR="003B6D68" w:rsidRDefault="003B6D68" w:rsidP="004D519B">
      <w:pPr>
        <w:pStyle w:val="BodyText"/>
        <w:ind w:right="-170"/>
      </w:pPr>
      <w:r>
        <w:t xml:space="preserve">The </w:t>
      </w:r>
      <w:r w:rsidR="006429E8">
        <w:t xml:space="preserve">main sources </w:t>
      </w:r>
      <w:r>
        <w:t>of operation noise emissions would be the Wollert Compressor Station</w:t>
      </w:r>
      <w:r w:rsidR="006429E8">
        <w:t xml:space="preserve"> and the MLV</w:t>
      </w:r>
      <w:r w:rsidR="00375E98">
        <w:t> </w:t>
      </w:r>
      <w:r w:rsidR="006429E8">
        <w:t>sites</w:t>
      </w:r>
      <w:r>
        <w:t>. There are 31 sensitive receptors within the vicinity of the Wollert Compressor Station, with the closest being around 700 metres away from the existing facility</w:t>
      </w:r>
      <w:r w:rsidR="00580D7A">
        <w:t xml:space="preserve"> (refer </w:t>
      </w:r>
      <w:r w:rsidR="00580D7A">
        <w:fldChar w:fldCharType="begin"/>
      </w:r>
      <w:r w:rsidR="00580D7A">
        <w:instrText xml:space="preserve"> REF _Ref71109327 \h </w:instrText>
      </w:r>
      <w:r w:rsidR="00580D7A">
        <w:fldChar w:fldCharType="separate"/>
      </w:r>
      <w:r w:rsidR="00E94BD2">
        <w:t>Figure </w:t>
      </w:r>
      <w:r w:rsidR="00E94BD2">
        <w:rPr>
          <w:noProof/>
        </w:rPr>
        <w:t>11</w:t>
      </w:r>
      <w:r w:rsidR="00580D7A">
        <w:fldChar w:fldCharType="end"/>
      </w:r>
      <w:r w:rsidR="00580D7A">
        <w:t>)</w:t>
      </w:r>
      <w:r>
        <w:t>. The mainline valve (MLV) sites are separated by substantial buffers from the nearest noise sensitive receptors with the closest sensitive receptor being approximately 300</w:t>
      </w:r>
      <w:r w:rsidR="00276150">
        <w:t xml:space="preserve"> metres </w:t>
      </w:r>
      <w:r>
        <w:t xml:space="preserve">away from a MLV site. </w:t>
      </w:r>
      <w:r w:rsidRPr="003D1944">
        <w:t xml:space="preserve">Results of previous noise monitoring programs have found that background noise levels in the area surrounding the </w:t>
      </w:r>
      <w:r>
        <w:t>Wollert C</w:t>
      </w:r>
      <w:r w:rsidRPr="003D1944">
        <w:t xml:space="preserve">ompressor </w:t>
      </w:r>
      <w:r>
        <w:t>S</w:t>
      </w:r>
      <w:r w:rsidRPr="003D1944">
        <w:t>tation are low (with and without the compressor station operating), typical for rural areas.</w:t>
      </w:r>
    </w:p>
    <w:p w14:paraId="5DA62D53" w14:textId="5D713485" w:rsidR="00D037CD" w:rsidRDefault="00D037CD" w:rsidP="00D037CD">
      <w:pPr>
        <w:pStyle w:val="Caption"/>
      </w:pPr>
      <w:bookmarkStart w:id="86" w:name="_Ref71109327"/>
      <w:r>
        <w:lastRenderedPageBreak/>
        <w:t>Figure</w:t>
      </w:r>
      <w:r w:rsidR="00FB03F8">
        <w:t> </w:t>
      </w:r>
      <w:r w:rsidR="00113B39">
        <w:fldChar w:fldCharType="begin"/>
      </w:r>
      <w:r w:rsidR="00113B39">
        <w:instrText xml:space="preserve"> SEQ Figure \* ARABIC </w:instrText>
      </w:r>
      <w:r w:rsidR="00113B39">
        <w:fldChar w:fldCharType="separate"/>
      </w:r>
      <w:r w:rsidR="00C320AC">
        <w:rPr>
          <w:noProof/>
        </w:rPr>
        <w:t>11</w:t>
      </w:r>
      <w:r w:rsidR="00113B39">
        <w:rPr>
          <w:noProof/>
        </w:rPr>
        <w:fldChar w:fldCharType="end"/>
      </w:r>
      <w:bookmarkEnd w:id="86"/>
      <w:r>
        <w:tab/>
        <w:t>Wollert Compressor Station sensitive receptors</w:t>
      </w:r>
    </w:p>
    <w:p w14:paraId="445DF3D3" w14:textId="6B39F806" w:rsidR="00D037CD" w:rsidRDefault="00D037CD" w:rsidP="00FB03F8">
      <w:pPr>
        <w:pStyle w:val="Object"/>
      </w:pPr>
      <w:r w:rsidRPr="00D037CD">
        <w:rPr>
          <w:noProof/>
        </w:rPr>
        <w:drawing>
          <wp:inline distT="0" distB="0" distL="0" distR="0" wp14:anchorId="430769D6" wp14:editId="6AC72CD1">
            <wp:extent cx="5760000" cy="5585358"/>
            <wp:effectExtent l="0" t="0" r="0" b="0"/>
            <wp:docPr id="21" name="Picture 21" descr="A map is presented showing the sensitive receptors surrounding the wollert compressor station and study area,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ap is presented showing the sensitive receptors surrounding the wollert compressor station and study area, as described in the text above."/>
                    <pic:cNvPicPr/>
                  </pic:nvPicPr>
                  <pic:blipFill rotWithShape="1">
                    <a:blip r:embed="rId30" cstate="hqprint">
                      <a:extLst>
                        <a:ext uri="{28A0092B-C50C-407E-A947-70E740481C1C}">
                          <a14:useLocalDpi xmlns:a14="http://schemas.microsoft.com/office/drawing/2010/main" val="0"/>
                        </a:ext>
                      </a:extLst>
                    </a:blip>
                    <a:srcRect/>
                    <a:stretch/>
                  </pic:blipFill>
                  <pic:spPr bwMode="auto">
                    <a:xfrm>
                      <a:off x="0" y="0"/>
                      <a:ext cx="5760000" cy="5585358"/>
                    </a:xfrm>
                    <a:prstGeom prst="rect">
                      <a:avLst/>
                    </a:prstGeom>
                    <a:ln>
                      <a:noFill/>
                    </a:ln>
                    <a:extLst>
                      <a:ext uri="{53640926-AAD7-44D8-BBD7-CCE9431645EC}">
                        <a14:shadowObscured xmlns:a14="http://schemas.microsoft.com/office/drawing/2010/main"/>
                      </a:ext>
                    </a:extLst>
                  </pic:spPr>
                </pic:pic>
              </a:graphicData>
            </a:graphic>
          </wp:inline>
        </w:drawing>
      </w:r>
    </w:p>
    <w:p w14:paraId="29ECF372" w14:textId="77777777" w:rsidR="00FB03F8" w:rsidRPr="00FB03F8" w:rsidRDefault="00FB03F8" w:rsidP="00FB03F8">
      <w:pPr>
        <w:pStyle w:val="Source"/>
      </w:pPr>
    </w:p>
    <w:p w14:paraId="0F1F5BC2" w14:textId="7CF411D7" w:rsidR="003B6D68" w:rsidRPr="00D50152" w:rsidRDefault="003B6D68" w:rsidP="003B6D68">
      <w:pPr>
        <w:pStyle w:val="Heading6"/>
      </w:pPr>
      <w:r>
        <w:t>Impact assessment</w:t>
      </w:r>
    </w:p>
    <w:p w14:paraId="410FECDB" w14:textId="030FFEA3" w:rsidR="003B6D68" w:rsidRDefault="003B6D68" w:rsidP="003B6D68">
      <w:pPr>
        <w:pStyle w:val="BodyText"/>
      </w:pPr>
      <w:r>
        <w:t xml:space="preserve">The adopted daytime noise criteria at residential receptors </w:t>
      </w:r>
      <w:proofErr w:type="gramStart"/>
      <w:r>
        <w:t>is</w:t>
      </w:r>
      <w:proofErr w:type="gramEnd"/>
      <w:r>
        <w:t xml:space="preserve"> 75 dB(A). For evening and weekend work, the noise criteria </w:t>
      </w:r>
      <w:proofErr w:type="gramStart"/>
      <w:r>
        <w:t>is</w:t>
      </w:r>
      <w:proofErr w:type="gramEnd"/>
      <w:r>
        <w:t xml:space="preserve"> 10 dB(A) above that of the existing background noise levels. Noise is required to be 'inaudible' within a </w:t>
      </w:r>
      <w:r w:rsidRPr="00886341">
        <w:t>habitable</w:t>
      </w:r>
      <w:r>
        <w:t xml:space="preserve"> room for night-time work. </w:t>
      </w:r>
    </w:p>
    <w:p w14:paraId="1AFE5D0F" w14:textId="1DBEE724" w:rsidR="003B6D68" w:rsidRDefault="003B6D68" w:rsidP="003B6D68">
      <w:pPr>
        <w:pStyle w:val="BodyText"/>
      </w:pPr>
      <w:r w:rsidRPr="0078391F">
        <w:t xml:space="preserve">Where </w:t>
      </w:r>
      <w:r>
        <w:t xml:space="preserve">works would </w:t>
      </w:r>
      <w:r w:rsidRPr="0078391F">
        <w:t>occur near a noise sensitive receptor,</w:t>
      </w:r>
      <w:r>
        <w:t xml:space="preserve"> </w:t>
      </w:r>
      <w:r w:rsidRPr="0078391F">
        <w:t>construc</w:t>
      </w:r>
      <w:r>
        <w:t xml:space="preserve">tion activities may result in </w:t>
      </w:r>
      <w:r w:rsidRPr="0078391F">
        <w:t>short-term noise impacts</w:t>
      </w:r>
      <w:r>
        <w:t xml:space="preserve">. Modelling </w:t>
      </w:r>
      <w:r w:rsidRPr="0001230C">
        <w:t>indicate</w:t>
      </w:r>
      <w:r>
        <w:t xml:space="preserve">d </w:t>
      </w:r>
      <w:proofErr w:type="gramStart"/>
      <w:r>
        <w:t xml:space="preserve">a </w:t>
      </w:r>
      <w:r w:rsidRPr="0001230C">
        <w:t>number of</w:t>
      </w:r>
      <w:proofErr w:type="gramEnd"/>
      <w:r w:rsidRPr="0001230C">
        <w:t xml:space="preserve"> receptors where </w:t>
      </w:r>
      <w:r>
        <w:t xml:space="preserve">construction </w:t>
      </w:r>
      <w:r w:rsidRPr="0001230C">
        <w:t xml:space="preserve">noise </w:t>
      </w:r>
      <w:r>
        <w:t xml:space="preserve">criteria would be </w:t>
      </w:r>
      <w:r w:rsidRPr="0001230C">
        <w:t>exceeded</w:t>
      </w:r>
      <w:r>
        <w:t xml:space="preserve"> without mitigation, with the noisiest activity expected to be associated with </w:t>
      </w:r>
      <w:r w:rsidRPr="0001230C">
        <w:t>non-destructive testing</w:t>
      </w:r>
      <w:r>
        <w:t xml:space="preserve"> which would involve </w:t>
      </w:r>
      <w:r w:rsidRPr="0001230C">
        <w:t>grit blasting</w:t>
      </w:r>
      <w:r>
        <w:t xml:space="preserve"> for open trench construction</w:t>
      </w:r>
      <w:r w:rsidRPr="0001230C">
        <w:t>.</w:t>
      </w:r>
      <w:r w:rsidR="00314821">
        <w:t xml:space="preserve"> </w:t>
      </w:r>
    </w:p>
    <w:p w14:paraId="3FB6105E" w14:textId="590327E4" w:rsidR="003B6D68" w:rsidRDefault="003B6D68" w:rsidP="003B6D68">
      <w:pPr>
        <w:pStyle w:val="BodyText"/>
      </w:pPr>
      <w:r>
        <w:lastRenderedPageBreak/>
        <w:t xml:space="preserve">Generally, along the construction corridor there are less than five sensitive receptors in any </w:t>
      </w:r>
      <w:proofErr w:type="gramStart"/>
      <w:r>
        <w:t>particular location</w:t>
      </w:r>
      <w:proofErr w:type="gramEnd"/>
      <w:r>
        <w:t xml:space="preserve"> where construction is expected to exceed the daytime criteria</w:t>
      </w:r>
      <w:r w:rsidR="00FC0DCE">
        <w:t>, without any mitigation in place</w:t>
      </w:r>
      <w:r>
        <w:t xml:space="preserve">. The exception to this is around Morefield Court in Diggers Rest where there are approximately eight sensitive receptors where construction is expected to exceed the daytime criteria. While boundary fences at some properties in this location would </w:t>
      </w:r>
      <w:r w:rsidRPr="004E39CF">
        <w:t>provide noise</w:t>
      </w:r>
      <w:r>
        <w:t xml:space="preserve"> </w:t>
      </w:r>
      <w:r w:rsidRPr="004E39CF">
        <w:t>attenuation</w:t>
      </w:r>
      <w:r>
        <w:t>, even with the fencing, the daytime noise criterion is expected to be exceeded for open trench construction.</w:t>
      </w:r>
    </w:p>
    <w:p w14:paraId="19468C92" w14:textId="33FBADA4" w:rsidR="00314821" w:rsidRDefault="00314821" w:rsidP="00D808C5">
      <w:pPr>
        <w:pStyle w:val="Caption"/>
        <w:spacing w:before="240" w:after="120"/>
      </w:pPr>
      <w:bookmarkStart w:id="87" w:name="_Ref71209011"/>
      <w:r>
        <w:t>Figure</w:t>
      </w:r>
      <w:r w:rsidR="00FB03F8">
        <w:t> </w:t>
      </w:r>
      <w:r w:rsidR="00113B39">
        <w:fldChar w:fldCharType="begin"/>
      </w:r>
      <w:r w:rsidR="00113B39">
        <w:instrText xml:space="preserve"> SEQ Figure \* ARABIC </w:instrText>
      </w:r>
      <w:r w:rsidR="00113B39">
        <w:fldChar w:fldCharType="separate"/>
      </w:r>
      <w:r w:rsidR="00E94BD2">
        <w:rPr>
          <w:noProof/>
        </w:rPr>
        <w:t>12</w:t>
      </w:r>
      <w:r w:rsidR="00113B39">
        <w:rPr>
          <w:noProof/>
        </w:rPr>
        <w:fldChar w:fldCharType="end"/>
      </w:r>
      <w:bookmarkEnd w:id="87"/>
      <w:r w:rsidR="00FB03F8">
        <w:tab/>
      </w:r>
      <w:r w:rsidRPr="00314821">
        <w:rPr>
          <w:rStyle w:val="Highlight"/>
          <w:shd w:val="clear" w:color="auto" w:fill="auto"/>
        </w:rPr>
        <w:t xml:space="preserve">Noise level exceedances at sensitive receptors for daytime, open trench construction </w:t>
      </w:r>
      <w:r w:rsidR="00FB03F8">
        <w:rPr>
          <w:rStyle w:val="Highlight"/>
          <w:shd w:val="clear" w:color="auto" w:fill="auto"/>
        </w:rPr>
        <w:t>–</w:t>
      </w:r>
      <w:r w:rsidRPr="00314821">
        <w:rPr>
          <w:rStyle w:val="Highlight"/>
          <w:shd w:val="clear" w:color="auto" w:fill="auto"/>
        </w:rPr>
        <w:t xml:space="preserve"> without mitigation</w:t>
      </w:r>
    </w:p>
    <w:p w14:paraId="49A0802E" w14:textId="4B5F430D" w:rsidR="00314821" w:rsidRDefault="00314821" w:rsidP="00D808C5">
      <w:pPr>
        <w:pStyle w:val="BodyTextSingleSpacing"/>
      </w:pPr>
      <w:r w:rsidRPr="00314821">
        <w:rPr>
          <w:noProof/>
        </w:rPr>
        <w:drawing>
          <wp:inline distT="0" distB="0" distL="0" distR="0" wp14:anchorId="193B0156" wp14:editId="48A70180">
            <wp:extent cx="5759220" cy="5430741"/>
            <wp:effectExtent l="0" t="0" r="0" b="0"/>
            <wp:docPr id="30" name="Picture 30" descr="This figure shows two aerial photographs overlaid with the noise contours from the Wollert Compressor Station during neutral and adverse meteorological conditions,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is figure shows two aerial photographs overlaid with the noise contours from the Wollert Compressor Station during neutral and adverse meteorological conditions, as described in the text above."/>
                    <pic:cNvPicPr/>
                  </pic:nvPicPr>
                  <pic:blipFill rotWithShape="1">
                    <a:blip r:embed="rId31">
                      <a:extLst>
                        <a:ext uri="{28A0092B-C50C-407E-A947-70E740481C1C}">
                          <a14:useLocalDpi xmlns:a14="http://schemas.microsoft.com/office/drawing/2010/main" val="0"/>
                        </a:ext>
                      </a:extLst>
                    </a:blip>
                    <a:srcRect t="996" b="1758"/>
                    <a:stretch/>
                  </pic:blipFill>
                  <pic:spPr bwMode="auto">
                    <a:xfrm>
                      <a:off x="0" y="0"/>
                      <a:ext cx="5759450" cy="5430958"/>
                    </a:xfrm>
                    <a:prstGeom prst="rect">
                      <a:avLst/>
                    </a:prstGeom>
                    <a:ln>
                      <a:noFill/>
                    </a:ln>
                    <a:extLst>
                      <a:ext uri="{53640926-AAD7-44D8-BBD7-CCE9431645EC}">
                        <a14:shadowObscured xmlns:a14="http://schemas.microsoft.com/office/drawing/2010/main"/>
                      </a:ext>
                    </a:extLst>
                  </pic:spPr>
                </pic:pic>
              </a:graphicData>
            </a:graphic>
          </wp:inline>
        </w:drawing>
      </w:r>
    </w:p>
    <w:p w14:paraId="0FFCCBEF" w14:textId="77777777" w:rsidR="00D808C5" w:rsidRDefault="003B6D68" w:rsidP="00D808C5">
      <w:pPr>
        <w:pStyle w:val="BodyText"/>
      </w:pPr>
      <w:r w:rsidRPr="002747B6">
        <w:t>Noise levels from crossings with HDD and bore operations are predicted to meet the daytime criterion</w:t>
      </w:r>
      <w:r>
        <w:t xml:space="preserve">, however, as HDD and boring would sometimes be required during the evening and night-time, without mitigation, these activities have the potential to exceed the evening noise and </w:t>
      </w:r>
      <w:r w:rsidRPr="00AD3980">
        <w:t xml:space="preserve">night-time </w:t>
      </w:r>
      <w:r>
        <w:t>criteria</w:t>
      </w:r>
      <w:bookmarkStart w:id="88" w:name="_Hlk58925162"/>
      <w:r>
        <w:t xml:space="preserve">. </w:t>
      </w:r>
      <w:bookmarkEnd w:id="88"/>
      <w:r>
        <w:t xml:space="preserve">During the evening, exceedances of the recommended noise criteria are predicted at 12 locations. It is estimated that less than 15 individual sensitive receptors are likely to be affected at each location where exceedances occur. </w:t>
      </w:r>
      <w:r w:rsidRPr="002A478B">
        <w:t>Night</w:t>
      </w:r>
      <w:r w:rsidR="00D808C5">
        <w:t>-</w:t>
      </w:r>
      <w:r w:rsidRPr="002A478B">
        <w:t xml:space="preserve">time exceedances are predicted at </w:t>
      </w:r>
      <w:r>
        <w:t>14</w:t>
      </w:r>
      <w:r w:rsidRPr="002A478B">
        <w:t xml:space="preserve"> locations along the construction corridor and there could be as many as 100 sensitive receptors in some locations, </w:t>
      </w:r>
      <w:r>
        <w:t xml:space="preserve">with more at </w:t>
      </w:r>
      <w:r w:rsidRPr="002A478B">
        <w:t xml:space="preserve">Mickleham, </w:t>
      </w:r>
      <w:proofErr w:type="gramStart"/>
      <w:r w:rsidRPr="002A478B">
        <w:t>Hillside</w:t>
      </w:r>
      <w:proofErr w:type="gramEnd"/>
      <w:r w:rsidRPr="002A478B">
        <w:t xml:space="preserve"> and Fraser Rise.</w:t>
      </w:r>
      <w:r>
        <w:t xml:space="preserve"> </w:t>
      </w:r>
    </w:p>
    <w:p w14:paraId="0B0EF50D" w14:textId="39B2809D" w:rsidR="003B6D68" w:rsidRDefault="003B6D68" w:rsidP="003B6D68">
      <w:pPr>
        <w:pStyle w:val="BodyText"/>
      </w:pPr>
      <w:r>
        <w:lastRenderedPageBreak/>
        <w:t>HDD and bored crossings could take between two to three weeks at a particular location and mitigation measures would be required to avoid and minimise impacts during this time.</w:t>
      </w:r>
      <w:r w:rsidRPr="00A81DAE">
        <w:t xml:space="preserve"> </w:t>
      </w:r>
    </w:p>
    <w:p w14:paraId="57DBB49C" w14:textId="4DF75FAE" w:rsidR="003B6D68" w:rsidRDefault="003B6D68" w:rsidP="003B6D68">
      <w:pPr>
        <w:pStyle w:val="BodyText"/>
      </w:pPr>
      <w:r>
        <w:t xml:space="preserve">Noise levels have been modelled for the maximum operating capacity of the current and upgraded Wollert Compression Station. Noise levels at the facility are predicted to comply with the applicable noise limits at </w:t>
      </w:r>
      <w:proofErr w:type="gramStart"/>
      <w:r>
        <w:t>all of</w:t>
      </w:r>
      <w:proofErr w:type="gramEnd"/>
      <w:r>
        <w:t xml:space="preserve"> the sensitive receptors during the day and the night during neutral and adverse metrological conditions</w:t>
      </w:r>
      <w:r w:rsidR="008C1AEE">
        <w:t xml:space="preserve">, as illustrated in </w:t>
      </w:r>
      <w:r w:rsidR="008C1AEE">
        <w:fldChar w:fldCharType="begin"/>
      </w:r>
      <w:r w:rsidR="008C1AEE">
        <w:instrText xml:space="preserve"> REF _Ref70331340 \h </w:instrText>
      </w:r>
      <w:r w:rsidR="008C1AEE">
        <w:fldChar w:fldCharType="separate"/>
      </w:r>
      <w:r w:rsidR="007829FC">
        <w:t>Figure </w:t>
      </w:r>
      <w:r w:rsidR="007829FC">
        <w:rPr>
          <w:noProof/>
        </w:rPr>
        <w:t>13</w:t>
      </w:r>
      <w:r w:rsidR="008C1AEE">
        <w:fldChar w:fldCharType="end"/>
      </w:r>
      <w:r>
        <w:t>.</w:t>
      </w:r>
    </w:p>
    <w:p w14:paraId="116F170B" w14:textId="1E9EA771" w:rsidR="00314821" w:rsidRDefault="00314821" w:rsidP="00314821">
      <w:pPr>
        <w:pStyle w:val="BodyText"/>
      </w:pPr>
      <w:r w:rsidRPr="007E4754">
        <w:t>There are no statutory limits for vibration within Victoria</w:t>
      </w:r>
      <w:r>
        <w:t xml:space="preserve">, however international guidelines are usually referred to. </w:t>
      </w:r>
      <w:proofErr w:type="gramStart"/>
      <w:r>
        <w:t>Typically</w:t>
      </w:r>
      <w:proofErr w:type="gramEnd"/>
      <w:r>
        <w:t xml:space="preserve"> at a distance of 50 metres from the vibration generating activity, </w:t>
      </w:r>
      <w:r w:rsidRPr="00A0232F">
        <w:t xml:space="preserve">vibration </w:t>
      </w:r>
      <w:r>
        <w:t xml:space="preserve">is expected to </w:t>
      </w:r>
      <w:r w:rsidRPr="00A0232F">
        <w:t xml:space="preserve">meet the 0.3 mm/s </w:t>
      </w:r>
      <w:r>
        <w:t>human perception guidance value in international guidelines</w:t>
      </w:r>
      <w:r>
        <w:rPr>
          <w:rStyle w:val="FootnoteReference"/>
        </w:rPr>
        <w:footnoteReference w:id="4"/>
      </w:r>
      <w:r>
        <w:t>. However, it is expected that vibration may be perceivable at distances of up to 100</w:t>
      </w:r>
      <w:r w:rsidR="00FB03F8">
        <w:t> </w:t>
      </w:r>
      <w:r>
        <w:t xml:space="preserve">metres during dozer or other intensive operations (without mitigation). </w:t>
      </w:r>
    </w:p>
    <w:p w14:paraId="6DD3B080" w14:textId="6A9B721D" w:rsidR="00314821" w:rsidRPr="004324C9" w:rsidRDefault="00314821" w:rsidP="00314821">
      <w:pPr>
        <w:pStyle w:val="BodyText"/>
      </w:pPr>
      <w:r>
        <w:t xml:space="preserve">Potential blasting locations would be </w:t>
      </w:r>
      <w:r w:rsidRPr="004324C9">
        <w:t xml:space="preserve">located </w:t>
      </w:r>
      <w:r>
        <w:t xml:space="preserve">at least </w:t>
      </w:r>
      <w:r w:rsidRPr="004324C9">
        <w:t>100 m</w:t>
      </w:r>
      <w:r>
        <w:t>etres</w:t>
      </w:r>
      <w:r w:rsidRPr="004324C9">
        <w:t xml:space="preserve"> or more from</w:t>
      </w:r>
      <w:r w:rsidDel="000E3204">
        <w:t xml:space="preserve"> </w:t>
      </w:r>
      <w:r>
        <w:t xml:space="preserve">residential buildings. </w:t>
      </w:r>
      <w:r w:rsidRPr="00151CED">
        <w:t>At</w:t>
      </w:r>
      <w:r w:rsidR="00375E98">
        <w:t> </w:t>
      </w:r>
      <w:r>
        <w:t xml:space="preserve">this distance, </w:t>
      </w:r>
      <w:r w:rsidRPr="004324C9">
        <w:t xml:space="preserve">blasting with the use of charges </w:t>
      </w:r>
      <w:r>
        <w:t>of</w:t>
      </w:r>
      <w:r w:rsidRPr="004324C9">
        <w:t xml:space="preserve"> less than </w:t>
      </w:r>
      <w:r>
        <w:t>one</w:t>
      </w:r>
      <w:r w:rsidRPr="004324C9">
        <w:t xml:space="preserve"> kilogram </w:t>
      </w:r>
      <w:r>
        <w:t xml:space="preserve">would not exceed the </w:t>
      </w:r>
      <w:r w:rsidRPr="004324C9">
        <w:t>human comfort</w:t>
      </w:r>
      <w:r>
        <w:t xml:space="preserve"> criteria </w:t>
      </w:r>
      <w:r w:rsidRPr="002625EC">
        <w:t xml:space="preserve">of 5 mm/s </w:t>
      </w:r>
      <w:r>
        <w:t>or the structural damage criterion</w:t>
      </w:r>
      <w:r w:rsidRPr="004324C9">
        <w:t>.</w:t>
      </w:r>
      <w:r w:rsidR="00CE5CD3">
        <w:t xml:space="preserve"> </w:t>
      </w:r>
      <w:r>
        <w:t xml:space="preserve">Use of an </w:t>
      </w:r>
      <w:proofErr w:type="gramStart"/>
      <w:r>
        <w:t>eight kilogram</w:t>
      </w:r>
      <w:proofErr w:type="gramEnd"/>
      <w:r>
        <w:t xml:space="preserve"> charge may be required at one location in the northern end of the Project, and this charge m</w:t>
      </w:r>
      <w:r w:rsidR="00FB03F8">
        <w:t>a</w:t>
      </w:r>
      <w:r>
        <w:t xml:space="preserve">y exceed the human comfort levels, but would be below the structural damage criterion. </w:t>
      </w:r>
    </w:p>
    <w:p w14:paraId="6D26FE7B" w14:textId="19EC337D" w:rsidR="00314821" w:rsidRDefault="00314821" w:rsidP="00314821">
      <w:pPr>
        <w:pStyle w:val="BodyText"/>
      </w:pPr>
      <w:r w:rsidRPr="00540FAB">
        <w:t>Melbourne Water’s Yan Yean to Bald Hill pipeline project and Major Road Projects Victoria’s (</w:t>
      </w:r>
      <w:proofErr w:type="spellStart"/>
      <w:r w:rsidRPr="00540FAB">
        <w:t>MRPV</w:t>
      </w:r>
      <w:proofErr w:type="spellEnd"/>
      <w:r w:rsidRPr="00540FAB">
        <w:t xml:space="preserve">) Sunbury Road upgrade project </w:t>
      </w:r>
      <w:r>
        <w:t xml:space="preserve">may be constructed at the same time. </w:t>
      </w:r>
      <w:r w:rsidRPr="00540FAB">
        <w:t xml:space="preserve">Details of sequencing of works and types of activities for these projects is not yet known, however should construction activities occur at the same time as </w:t>
      </w:r>
      <w:r>
        <w:t>this Project</w:t>
      </w:r>
      <w:r w:rsidRPr="00540FAB">
        <w:t xml:space="preserve">, there is potential for cumulative noise and vibration impacts at the sensitive receptors and possible exceedances of noise criteria. Liaison with </w:t>
      </w:r>
      <w:proofErr w:type="spellStart"/>
      <w:r w:rsidRPr="00540FAB">
        <w:t>MRPV</w:t>
      </w:r>
      <w:proofErr w:type="spellEnd"/>
      <w:r w:rsidRPr="00540FAB">
        <w:t xml:space="preserve"> and Melbourne Water would be undertaken prior to and during construction to avoid, where practicable, works being undertaken at the same time and in the same location.</w:t>
      </w:r>
    </w:p>
    <w:p w14:paraId="6DDA2BBD" w14:textId="77777777" w:rsidR="009064FE" w:rsidRPr="00823F61" w:rsidRDefault="009064FE" w:rsidP="009064FE">
      <w:pPr>
        <w:pStyle w:val="Heading6"/>
      </w:pPr>
      <w:r>
        <w:t>M</w:t>
      </w:r>
      <w:r w:rsidRPr="00C019E7">
        <w:t>anagement measures</w:t>
      </w:r>
    </w:p>
    <w:p w14:paraId="65CCD40A" w14:textId="0C1CD942" w:rsidR="009064FE" w:rsidRPr="002208B0" w:rsidRDefault="009064FE" w:rsidP="009064FE">
      <w:pPr>
        <w:pStyle w:val="BodyText"/>
      </w:pPr>
      <w:r w:rsidRPr="003B6D68">
        <w:rPr>
          <w:rStyle w:val="Removedirectformatting"/>
        </w:rPr>
        <w:t>Noise and vibration management measures have been identified to avoid and minimise impacts</w:t>
      </w:r>
      <w:r>
        <w:t xml:space="preserve"> associated with noise and vibration during the construction of the Project. These include preparation of a Construction Noise and Vibration Plan detailing measures to avoid and minimise noise and vibration, and c</w:t>
      </w:r>
      <w:r w:rsidRPr="005044B7">
        <w:t xml:space="preserve">ondition/dilapidation surveys </w:t>
      </w:r>
      <w:r>
        <w:t xml:space="preserve">where required. Controls would be implemented suited to the individual locations and circumstances and could reduce the noise levels by around 5 dB(A) to as much as 50 dB(A) where enclosures are used around stationary equipment. Measures to avoid and minimise the impacts of construction vibration would be considered in locations where sensitive receptors are located within 100 metres from construction and subject to vibration-generating construction activities. This would include measures such as alternative work methods, restricted hours, and increasing distance between equipment and sensitive receptors. </w:t>
      </w:r>
    </w:p>
    <w:p w14:paraId="7DEF7080" w14:textId="77777777" w:rsidR="009064FE" w:rsidRPr="00551F9D" w:rsidRDefault="009064FE" w:rsidP="009064FE">
      <w:pPr>
        <w:pStyle w:val="BodyText"/>
      </w:pPr>
      <w:proofErr w:type="gramStart"/>
      <w:r>
        <w:t>In the event that</w:t>
      </w:r>
      <w:proofErr w:type="gramEnd"/>
      <w:r>
        <w:t xml:space="preserve"> </w:t>
      </w:r>
      <w:r w:rsidRPr="00551F9D">
        <w:t>the residual noise and vibration impact</w:t>
      </w:r>
      <w:r>
        <w:t>s</w:t>
      </w:r>
      <w:r w:rsidRPr="00551F9D">
        <w:t xml:space="preserve"> (after </w:t>
      </w:r>
      <w:r>
        <w:t xml:space="preserve">management </w:t>
      </w:r>
      <w:r w:rsidRPr="00551F9D">
        <w:t>measures are implemented)</w:t>
      </w:r>
      <w:r>
        <w:t xml:space="preserve"> </w:t>
      </w:r>
      <w:r w:rsidRPr="00551F9D">
        <w:t>exceed the recommended construction noise and vibration criteria or construction works are planned close to the sensitive receptors,</w:t>
      </w:r>
      <w:r>
        <w:t xml:space="preserve"> </w:t>
      </w:r>
      <w:r w:rsidRPr="00BC614F">
        <w:t>information on the impact will be discussed with affected residents and individual mitigation would be implemented (</w:t>
      </w:r>
      <w:proofErr w:type="spellStart"/>
      <w:r w:rsidRPr="00BC614F">
        <w:t>EMM</w:t>
      </w:r>
      <w:proofErr w:type="spellEnd"/>
      <w:r w:rsidRPr="00BC614F">
        <w:t xml:space="preserve"> </w:t>
      </w:r>
      <w:proofErr w:type="spellStart"/>
      <w:r w:rsidRPr="00BC614F">
        <w:t>NV6</w:t>
      </w:r>
      <w:proofErr w:type="spellEnd"/>
      <w:r w:rsidRPr="00BC614F">
        <w:t>).</w:t>
      </w:r>
    </w:p>
    <w:p w14:paraId="65BBDBC7" w14:textId="228C1728" w:rsidR="00D808C5" w:rsidRDefault="009064FE" w:rsidP="009064FE">
      <w:pPr>
        <w:pStyle w:val="BodyText"/>
      </w:pPr>
      <w:r>
        <w:t xml:space="preserve">Prior to blasting, a detailed blast study and impact management and would be developed to confirm potential blasting impacts and identify any further management measures required. </w:t>
      </w:r>
    </w:p>
    <w:p w14:paraId="2C1800A6" w14:textId="7F15ABD4" w:rsidR="00DD56D4" w:rsidRDefault="00DD56D4" w:rsidP="00D808C5">
      <w:pPr>
        <w:pStyle w:val="Caption"/>
        <w:spacing w:after="120"/>
      </w:pPr>
      <w:bookmarkStart w:id="89" w:name="_Ref70331340"/>
      <w:r>
        <w:lastRenderedPageBreak/>
        <w:t>Figure</w:t>
      </w:r>
      <w:r w:rsidR="00FB03F8">
        <w:t> </w:t>
      </w:r>
      <w:r w:rsidR="00113B39">
        <w:fldChar w:fldCharType="begin"/>
      </w:r>
      <w:r w:rsidR="00113B39">
        <w:instrText xml:space="preserve"> SEQ Figure \* ARABIC </w:instrText>
      </w:r>
      <w:r w:rsidR="00113B39">
        <w:fldChar w:fldCharType="separate"/>
      </w:r>
      <w:r w:rsidR="007829FC">
        <w:rPr>
          <w:noProof/>
        </w:rPr>
        <w:t>13</w:t>
      </w:r>
      <w:r w:rsidR="00113B39">
        <w:rPr>
          <w:noProof/>
        </w:rPr>
        <w:fldChar w:fldCharType="end"/>
      </w:r>
      <w:bookmarkEnd w:id="89"/>
      <w:r>
        <w:tab/>
        <w:t>Noise contours from the Wollert Compressor Station during neutral and adverse meteorological conditions, source: Wood, 2020</w:t>
      </w:r>
    </w:p>
    <w:p w14:paraId="4474B1FF" w14:textId="0F8FCD19" w:rsidR="00DD56D4" w:rsidRDefault="00DD56D4" w:rsidP="00D808C5">
      <w:pPr>
        <w:pStyle w:val="BodyTextSingleSpacing"/>
      </w:pPr>
      <w:r w:rsidRPr="00DD56D4">
        <w:rPr>
          <w:noProof/>
        </w:rPr>
        <w:drawing>
          <wp:inline distT="0" distB="0" distL="0" distR="0" wp14:anchorId="76B5D039" wp14:editId="0B2BD9C9">
            <wp:extent cx="5364000" cy="3968293"/>
            <wp:effectExtent l="0" t="0" r="8255" b="0"/>
            <wp:docPr id="3" name="Picture 3" descr="This map provides a summary of sensory receptors within 50 metres and 75 metres of the construction corridor, as described in the text above. This map shows 50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is map provides a summary of sensory receptors within 50 metres and 75 metres of the construction corridor, as described in the text above. This map shows 50 metres."/>
                    <pic:cNvPicPr/>
                  </pic:nvPicPr>
                  <pic:blipFill>
                    <a:blip r:embed="rId32"/>
                    <a:stretch>
                      <a:fillRect/>
                    </a:stretch>
                  </pic:blipFill>
                  <pic:spPr>
                    <a:xfrm>
                      <a:off x="0" y="0"/>
                      <a:ext cx="5364000" cy="3968293"/>
                    </a:xfrm>
                    <a:prstGeom prst="rect">
                      <a:avLst/>
                    </a:prstGeom>
                  </pic:spPr>
                </pic:pic>
              </a:graphicData>
            </a:graphic>
          </wp:inline>
        </w:drawing>
      </w:r>
    </w:p>
    <w:p w14:paraId="1ABBFC58" w14:textId="3F75F8AD" w:rsidR="00DD56D4" w:rsidRDefault="00DD56D4" w:rsidP="00D808C5">
      <w:pPr>
        <w:pStyle w:val="BodyTextSingleSpacing"/>
      </w:pPr>
      <w:r w:rsidRPr="00DD56D4">
        <w:rPr>
          <w:noProof/>
        </w:rPr>
        <w:drawing>
          <wp:inline distT="0" distB="0" distL="0" distR="0" wp14:anchorId="314D1525" wp14:editId="56B63E0B">
            <wp:extent cx="5364000" cy="3949368"/>
            <wp:effectExtent l="0" t="0" r="8255" b="0"/>
            <wp:docPr id="16" name="Picture 16" descr="This map provides a summary of sensory receptors within 50 metres and 75 metres of the construction corridor, as described in the text above. This map shows 75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is map provides a summary of sensory receptors within 50 metres and 75 metres of the construction corridor, as described in the text above. This map shows 75 metres."/>
                    <pic:cNvPicPr/>
                  </pic:nvPicPr>
                  <pic:blipFill>
                    <a:blip r:embed="rId33"/>
                    <a:stretch>
                      <a:fillRect/>
                    </a:stretch>
                  </pic:blipFill>
                  <pic:spPr>
                    <a:xfrm>
                      <a:off x="0" y="0"/>
                      <a:ext cx="5364000" cy="3949368"/>
                    </a:xfrm>
                    <a:prstGeom prst="rect">
                      <a:avLst/>
                    </a:prstGeom>
                  </pic:spPr>
                </pic:pic>
              </a:graphicData>
            </a:graphic>
          </wp:inline>
        </w:drawing>
      </w:r>
    </w:p>
    <w:p w14:paraId="23BE900E" w14:textId="77777777" w:rsidR="003B6D68" w:rsidRDefault="003B6D68" w:rsidP="00D808C5">
      <w:pPr>
        <w:pStyle w:val="Heading5"/>
        <w:pageBreakBefore/>
      </w:pPr>
      <w:bookmarkStart w:id="90" w:name="_Toc69469612"/>
      <w:r w:rsidRPr="00E65F64">
        <w:lastRenderedPageBreak/>
        <w:t>Air quality</w:t>
      </w:r>
      <w:bookmarkEnd w:id="90"/>
    </w:p>
    <w:p w14:paraId="60A91FC8" w14:textId="77777777" w:rsidR="003B6D68" w:rsidRDefault="003B6D68" w:rsidP="00FB03F8">
      <w:pPr>
        <w:pStyle w:val="BodyText"/>
      </w:pPr>
      <w:r w:rsidRPr="00E92AE0">
        <w:t xml:space="preserve">The </w:t>
      </w:r>
      <w:r>
        <w:t xml:space="preserve">primary </w:t>
      </w:r>
      <w:r w:rsidRPr="00E92AE0">
        <w:t xml:space="preserve">evaluation objective outlined in the Minister’s scoping requirements for this EES in relation to </w:t>
      </w:r>
      <w:r>
        <w:t>air quality is</w:t>
      </w:r>
      <w:r w:rsidRPr="00E92AE0">
        <w:t xml:space="preserve"> </w:t>
      </w:r>
      <w:r>
        <w:t>‘</w:t>
      </w:r>
      <w:r w:rsidRPr="00540FAB">
        <w:t xml:space="preserve">to minimise potential adverse social, economic, amenity and land use effects at local and regional </w:t>
      </w:r>
      <w:proofErr w:type="gramStart"/>
      <w:r w:rsidRPr="00540FAB">
        <w:t>scales</w:t>
      </w:r>
      <w:r>
        <w:t>’</w:t>
      </w:r>
      <w:proofErr w:type="gramEnd"/>
      <w:r>
        <w:t>.</w:t>
      </w:r>
    </w:p>
    <w:p w14:paraId="53352C6C" w14:textId="77777777" w:rsidR="003B6D68" w:rsidRDefault="003B6D68" w:rsidP="003B6D68">
      <w:pPr>
        <w:pStyle w:val="Heading6"/>
      </w:pPr>
      <w:r>
        <w:t>Existing conditions</w:t>
      </w:r>
    </w:p>
    <w:p w14:paraId="39F6133C" w14:textId="1A6F8A4F" w:rsidR="003B6D68" w:rsidRDefault="003B6D68" w:rsidP="003B6D68">
      <w:pPr>
        <w:pStyle w:val="BodyText"/>
      </w:pPr>
      <w:r w:rsidRPr="007A1DB2">
        <w:t>An air quality impact assessment considered sensitive receptors within 500 metres of the Project alignment for the construction and operational phases of the pipeline, and within 2.5</w:t>
      </w:r>
      <w:r w:rsidR="00D50E2E">
        <w:t> </w:t>
      </w:r>
      <w:r w:rsidRPr="007A1DB2">
        <w:t>km (for the purposes of dispersion modelling) of the Wollert Compressor Station.</w:t>
      </w:r>
      <w:r>
        <w:t xml:space="preserve"> A total of 484 sensitive receptors were identified</w:t>
      </w:r>
      <w:r w:rsidRPr="008E1FBD">
        <w:t>.</w:t>
      </w:r>
      <w:r>
        <w:t xml:space="preserve"> </w:t>
      </w:r>
      <w:r w:rsidRPr="008E1FBD">
        <w:t>The closest</w:t>
      </w:r>
      <w:r>
        <w:t xml:space="preserve"> sensitive receptors to the Project are six individual rural residences located in the range of 35</w:t>
      </w:r>
      <w:r w:rsidR="00F41683">
        <w:t xml:space="preserve"> </w:t>
      </w:r>
      <w:r w:rsidR="00276150">
        <w:t>metres</w:t>
      </w:r>
      <w:r w:rsidR="00F41683">
        <w:t xml:space="preserve"> </w:t>
      </w:r>
      <w:r>
        <w:t>to 50</w:t>
      </w:r>
      <w:r w:rsidR="00F41683">
        <w:t xml:space="preserve"> </w:t>
      </w:r>
      <w:r w:rsidR="00276150">
        <w:t xml:space="preserve">metres </w:t>
      </w:r>
      <w:r>
        <w:t xml:space="preserve">from the construction corridor. Most of </w:t>
      </w:r>
      <w:r w:rsidRPr="008E1FBD">
        <w:t xml:space="preserve">the identified receptors are considered residential or rural-residential </w:t>
      </w:r>
      <w:r>
        <w:t xml:space="preserve">activities </w:t>
      </w:r>
      <w:r w:rsidRPr="008E1FBD">
        <w:t xml:space="preserve">for the purposes </w:t>
      </w:r>
      <w:r>
        <w:t xml:space="preserve">of the air quality </w:t>
      </w:r>
      <w:r w:rsidRPr="008E1FBD">
        <w:t>assessment.</w:t>
      </w:r>
      <w:r w:rsidRPr="00C46ABB">
        <w:t xml:space="preserve"> </w:t>
      </w:r>
      <w:r w:rsidR="00FF48B8">
        <w:t>The</w:t>
      </w:r>
      <w:r w:rsidR="00D808C5">
        <w:t> </w:t>
      </w:r>
      <w:r w:rsidR="00FF48B8">
        <w:t xml:space="preserve">air quality study area and sensitive receptors are illustrated in </w:t>
      </w:r>
      <w:r w:rsidR="00FF48B8">
        <w:fldChar w:fldCharType="begin"/>
      </w:r>
      <w:r w:rsidR="00FF48B8">
        <w:instrText xml:space="preserve"> REF _Ref70331342 \h </w:instrText>
      </w:r>
      <w:r w:rsidR="00FF48B8">
        <w:fldChar w:fldCharType="separate"/>
      </w:r>
      <w:r w:rsidR="007829FC">
        <w:t>Figure </w:t>
      </w:r>
      <w:r w:rsidR="007829FC">
        <w:rPr>
          <w:noProof/>
        </w:rPr>
        <w:t>14</w:t>
      </w:r>
      <w:r w:rsidR="00FF48B8">
        <w:fldChar w:fldCharType="end"/>
      </w:r>
      <w:r w:rsidR="00FF48B8">
        <w:t>.</w:t>
      </w:r>
    </w:p>
    <w:p w14:paraId="304CC322" w14:textId="77777777" w:rsidR="003B6D68" w:rsidRDefault="003B6D68" w:rsidP="003B6D68">
      <w:pPr>
        <w:pStyle w:val="Heading6"/>
      </w:pPr>
      <w:r>
        <w:t>Impact assessment</w:t>
      </w:r>
    </w:p>
    <w:p w14:paraId="0BE6BD21" w14:textId="4419B46B" w:rsidR="003B6D68" w:rsidRDefault="003B6D68" w:rsidP="003B6D68">
      <w:pPr>
        <w:pStyle w:val="BodyText"/>
      </w:pPr>
      <w:r w:rsidRPr="0008761E">
        <w:t xml:space="preserve">During </w:t>
      </w:r>
      <w:r>
        <w:t>construction</w:t>
      </w:r>
      <w:r w:rsidRPr="0008761E">
        <w:t xml:space="preserve">, the </w:t>
      </w:r>
      <w:r>
        <w:t>key</w:t>
      </w:r>
      <w:r w:rsidRPr="0008761E">
        <w:t xml:space="preserve"> air quality impacts would </w:t>
      </w:r>
      <w:r>
        <w:t>result from</w:t>
      </w:r>
      <w:r w:rsidRPr="0008761E">
        <w:t xml:space="preserve"> the creation of dust (</w:t>
      </w:r>
      <w:proofErr w:type="spellStart"/>
      <w:r w:rsidRPr="0008761E">
        <w:t>PM</w:t>
      </w:r>
      <w:r w:rsidRPr="00D50E2E">
        <w:rPr>
          <w:vertAlign w:val="subscript"/>
        </w:rPr>
        <w:t>10</w:t>
      </w:r>
      <w:proofErr w:type="spellEnd"/>
      <w:r w:rsidRPr="0008761E">
        <w:t>).</w:t>
      </w:r>
      <w:r>
        <w:t xml:space="preserve"> Trenching activities have the higher potential for dust, requiring mitigation measures where sensitive receptors are within 75</w:t>
      </w:r>
      <w:r w:rsidR="00276150">
        <w:t xml:space="preserve"> metres </w:t>
      </w:r>
      <w:r>
        <w:t xml:space="preserve">of the corridor </w:t>
      </w:r>
      <w:r w:rsidRPr="002F5788">
        <w:t xml:space="preserve">to </w:t>
      </w:r>
      <w:r>
        <w:t xml:space="preserve">achieve State Environment Protection Policy (SEPP) Ambient Air Quality criteria trigger levels. As part of standard construction and environmental risk management, dust mitigation measures and dust monitoring would be implemented to </w:t>
      </w:r>
      <w:r w:rsidRPr="00266433">
        <w:t xml:space="preserve">reduce the likelihood, </w:t>
      </w:r>
      <w:proofErr w:type="gramStart"/>
      <w:r w:rsidRPr="00266433">
        <w:t>intensity</w:t>
      </w:r>
      <w:proofErr w:type="gramEnd"/>
      <w:r w:rsidRPr="00266433">
        <w:t xml:space="preserve"> or extent of dust effects</w:t>
      </w:r>
      <w:r>
        <w:t xml:space="preserve">. Additional mitigation measures, where required, would include </w:t>
      </w:r>
      <w:r w:rsidRPr="009C5E37">
        <w:t xml:space="preserve">reducing or suspending works when real-time </w:t>
      </w:r>
      <w:r>
        <w:t xml:space="preserve">particulate </w:t>
      </w:r>
      <w:r w:rsidRPr="009C5E37">
        <w:t>monitors ‘alarm’ and</w:t>
      </w:r>
      <w:r>
        <w:t xml:space="preserve"> when adverse conditions are likely (for example, dry gusty winds with sensitive receptors nearby and downwind). In</w:t>
      </w:r>
      <w:r w:rsidR="00D808C5">
        <w:t> </w:t>
      </w:r>
      <w:r>
        <w:t xml:space="preserve">all cases, the implementation of additional mitigation measures would </w:t>
      </w:r>
      <w:r w:rsidRPr="009C5E37">
        <w:t xml:space="preserve">reduce the likelihood, </w:t>
      </w:r>
      <w:proofErr w:type="gramStart"/>
      <w:r w:rsidRPr="009C5E37">
        <w:t>intensity</w:t>
      </w:r>
      <w:proofErr w:type="gramEnd"/>
      <w:r w:rsidRPr="009C5E37">
        <w:t xml:space="preserve"> or extent of dust effects</w:t>
      </w:r>
      <w:r>
        <w:t xml:space="preserve">, </w:t>
      </w:r>
      <w:r w:rsidRPr="009C5E37">
        <w:t>result</w:t>
      </w:r>
      <w:r>
        <w:t>ing</w:t>
      </w:r>
      <w:r w:rsidRPr="009C5E37">
        <w:t xml:space="preserve"> in low </w:t>
      </w:r>
      <w:r>
        <w:t xml:space="preserve">impact on </w:t>
      </w:r>
      <w:r w:rsidRPr="009C5E37">
        <w:t>air quality to sensitive receptors</w:t>
      </w:r>
      <w:r>
        <w:t xml:space="preserve">. </w:t>
      </w:r>
    </w:p>
    <w:p w14:paraId="2DF2634C" w14:textId="1C98642E" w:rsidR="003B6D68" w:rsidRDefault="003B6D68" w:rsidP="003B6D68">
      <w:pPr>
        <w:pStyle w:val="BodyText"/>
      </w:pPr>
      <w:r>
        <w:t xml:space="preserve">During operation, air quality impacts are limited to operation of the Wollert Compressor Station. </w:t>
      </w:r>
      <w:r w:rsidRPr="0004010B">
        <w:t xml:space="preserve">Air dispersion modelling was conducted for CO, </w:t>
      </w:r>
      <w:proofErr w:type="spellStart"/>
      <w:r w:rsidRPr="0004010B">
        <w:t>NO</w:t>
      </w:r>
      <w:r w:rsidRPr="0021394A">
        <w:rPr>
          <w:rStyle w:val="Subscript"/>
        </w:rPr>
        <w:t>2</w:t>
      </w:r>
      <w:proofErr w:type="spellEnd"/>
      <w:r w:rsidRPr="0004010B">
        <w:t xml:space="preserve">, </w:t>
      </w:r>
      <w:proofErr w:type="spellStart"/>
      <w:r w:rsidRPr="0004010B">
        <w:t>PM</w:t>
      </w:r>
      <w:r w:rsidRPr="0021394A">
        <w:rPr>
          <w:rStyle w:val="Subscript"/>
        </w:rPr>
        <w:t>10</w:t>
      </w:r>
      <w:proofErr w:type="spellEnd"/>
      <w:r w:rsidRPr="0004010B">
        <w:t xml:space="preserve">, </w:t>
      </w:r>
      <w:proofErr w:type="spellStart"/>
      <w:r w:rsidRPr="0004010B">
        <w:t>PM</w:t>
      </w:r>
      <w:r w:rsidRPr="0021394A">
        <w:rPr>
          <w:rStyle w:val="Subscript"/>
        </w:rPr>
        <w:t>2.5</w:t>
      </w:r>
      <w:proofErr w:type="spellEnd"/>
      <w:r w:rsidRPr="0004010B">
        <w:t xml:space="preserve">, PAHs, </w:t>
      </w:r>
      <w:proofErr w:type="spellStart"/>
      <w:r w:rsidRPr="0004010B">
        <w:t>SO</w:t>
      </w:r>
      <w:r w:rsidRPr="0021394A">
        <w:rPr>
          <w:rStyle w:val="Subscript"/>
        </w:rPr>
        <w:t>2</w:t>
      </w:r>
      <w:proofErr w:type="spellEnd"/>
      <w:r w:rsidRPr="0004010B">
        <w:t xml:space="preserve">, </w:t>
      </w:r>
      <w:r>
        <w:t>benzene, f</w:t>
      </w:r>
      <w:r w:rsidRPr="0004010B">
        <w:t xml:space="preserve">ormaldehyde, </w:t>
      </w:r>
      <w:proofErr w:type="gramStart"/>
      <w:r>
        <w:t>t</w:t>
      </w:r>
      <w:r w:rsidRPr="0004010B">
        <w:t>oluene</w:t>
      </w:r>
      <w:proofErr w:type="gramEnd"/>
      <w:r w:rsidRPr="0004010B">
        <w:t xml:space="preserve"> and </w:t>
      </w:r>
      <w:r>
        <w:t>x</w:t>
      </w:r>
      <w:r w:rsidRPr="0004010B">
        <w:t>ylene</w:t>
      </w:r>
      <w:r>
        <w:t>. A</w:t>
      </w:r>
      <w:r w:rsidRPr="0004010B">
        <w:t>ll pollutants complied</w:t>
      </w:r>
      <w:r>
        <w:t xml:space="preserve"> with the relevant criteria in the EPA Victoria SEPP Air Quality Management for </w:t>
      </w:r>
      <w:r w:rsidRPr="0004010B">
        <w:t>worst-case normal operations</w:t>
      </w:r>
      <w:r>
        <w:t>, when modelled in accordance with the Environment Protection (Scheduled Premises) Regulations 2017. Additional modelling was completed including the emergency generator which may operate on occasions and this showed a small area of exceedance for NOx and CO within the APA site boundaries (</w:t>
      </w:r>
      <w:proofErr w:type="spellStart"/>
      <w:proofErr w:type="gramStart"/>
      <w:r w:rsidR="00CE5CD3">
        <w:t>ie</w:t>
      </w:r>
      <w:proofErr w:type="spellEnd"/>
      <w:proofErr w:type="gramEnd"/>
      <w:r>
        <w:t xml:space="preserve"> not impacting sensitive receptor locations). </w:t>
      </w:r>
    </w:p>
    <w:p w14:paraId="46D818F3" w14:textId="77777777" w:rsidR="003B6D68" w:rsidRPr="0004010B" w:rsidRDefault="003B6D68" w:rsidP="003B6D68">
      <w:pPr>
        <w:pStyle w:val="Heading6"/>
      </w:pPr>
      <w:r>
        <w:t>Management measures</w:t>
      </w:r>
    </w:p>
    <w:p w14:paraId="6B4200E9" w14:textId="0EAB5592" w:rsidR="003B6D68" w:rsidRDefault="003B6D68" w:rsidP="003B6D68">
      <w:pPr>
        <w:pStyle w:val="BodyText"/>
      </w:pPr>
      <w:r>
        <w:t xml:space="preserve">Application of the Project </w:t>
      </w:r>
      <w:r w:rsidRPr="00DA6D93">
        <w:t>environmental management measures</w:t>
      </w:r>
      <w:r>
        <w:t xml:space="preserve"> would minimise impacts associated with dust and the potential for odorous soils at construction, in addition to combustion and odour-related emissions of the Wollert Compressor Station at operation. </w:t>
      </w:r>
    </w:p>
    <w:p w14:paraId="5DFE7A29" w14:textId="7B3FF51C" w:rsidR="00ED2B31" w:rsidRDefault="00ED2B31" w:rsidP="003B6D68">
      <w:pPr>
        <w:pStyle w:val="BodyText"/>
      </w:pPr>
      <w:r>
        <w:t>I</w:t>
      </w:r>
      <w:r w:rsidRPr="005276A9">
        <w:t xml:space="preserve">n developing the </w:t>
      </w:r>
      <w:r w:rsidRPr="00902863">
        <w:t>environmental management measures</w:t>
      </w:r>
      <w:r w:rsidRPr="005276A9">
        <w:t>, the air quality assessment adhered to the mitigation hierarchy</w:t>
      </w:r>
      <w:r>
        <w:t>;</w:t>
      </w:r>
      <w:r w:rsidRPr="005276A9">
        <w:t xml:space="preserve"> that is, an obligation to first avoid, minimise, </w:t>
      </w:r>
      <w:r>
        <w:t xml:space="preserve">and then </w:t>
      </w:r>
      <w:r w:rsidRPr="005276A9">
        <w:t xml:space="preserve">restore </w:t>
      </w:r>
      <w:r w:rsidRPr="00D169D2">
        <w:t>the residual impacts</w:t>
      </w:r>
      <w:r w:rsidR="00D808C5">
        <w:t> </w:t>
      </w:r>
      <w:r w:rsidRPr="00D169D2">
        <w:t>that remain</w:t>
      </w:r>
      <w:r w:rsidRPr="005276A9">
        <w:t>.</w:t>
      </w:r>
      <w:r>
        <w:t xml:space="preserve"> </w:t>
      </w:r>
      <w:r w:rsidRPr="0040097F">
        <w:t xml:space="preserve">According to the Waste Hierarchy of SEPP </w:t>
      </w:r>
      <w:proofErr w:type="spellStart"/>
      <w:r w:rsidRPr="0040097F">
        <w:t>AQM</w:t>
      </w:r>
      <w:proofErr w:type="spellEnd"/>
      <w:r w:rsidRPr="0040097F">
        <w:t xml:space="preserve"> (Clause 8), avoidance is the first choice. This is possible for operation where technology choice (best practice) can be applied.</w:t>
      </w:r>
      <w:r>
        <w:t xml:space="preserve"> T</w:t>
      </w:r>
      <w:r w:rsidRPr="0019798E">
        <w:t>he</w:t>
      </w:r>
      <w:r w:rsidR="00D808C5">
        <w:t> </w:t>
      </w:r>
      <w:r w:rsidRPr="0019798E">
        <w:t xml:space="preserve">Project’s compressor utilises best practice technology with low emissions and stack height design to ensure adequate dispersion. The operation effects are considered </w:t>
      </w:r>
      <w:proofErr w:type="gramStart"/>
      <w:r w:rsidRPr="0019798E">
        <w:t>minimal</w:t>
      </w:r>
      <w:proofErr w:type="gramEnd"/>
      <w:r w:rsidRPr="0019798E">
        <w:t xml:space="preserve"> and no additional mitigation is required.</w:t>
      </w:r>
    </w:p>
    <w:p w14:paraId="7109E33A" w14:textId="3CECDD67" w:rsidR="009064FE" w:rsidRDefault="009064FE" w:rsidP="009064FE">
      <w:pPr>
        <w:pStyle w:val="Caption"/>
      </w:pPr>
      <w:bookmarkStart w:id="91" w:name="_Ref70331342"/>
      <w:r>
        <w:lastRenderedPageBreak/>
        <w:t>Figure</w:t>
      </w:r>
      <w:r w:rsidR="00FB03F8">
        <w:t> </w:t>
      </w:r>
      <w:r w:rsidRPr="009064FE">
        <w:fldChar w:fldCharType="begin"/>
      </w:r>
      <w:r>
        <w:instrText xml:space="preserve"> SEQ Figure \* ARABIC </w:instrText>
      </w:r>
      <w:r w:rsidRPr="009064FE">
        <w:fldChar w:fldCharType="separate"/>
      </w:r>
      <w:r w:rsidR="00E94BD2">
        <w:rPr>
          <w:noProof/>
        </w:rPr>
        <w:t>14</w:t>
      </w:r>
      <w:r w:rsidRPr="009064FE">
        <w:fldChar w:fldCharType="end"/>
      </w:r>
      <w:bookmarkEnd w:id="91"/>
      <w:r>
        <w:tab/>
        <w:t>Air quality study area and sensitive receptors</w:t>
      </w:r>
    </w:p>
    <w:p w14:paraId="235F2A86" w14:textId="7C91BDDD" w:rsidR="009064FE" w:rsidRDefault="009064FE" w:rsidP="00FB03F8">
      <w:pPr>
        <w:pStyle w:val="Object"/>
      </w:pPr>
      <w:r w:rsidRPr="009064FE">
        <w:rPr>
          <w:noProof/>
        </w:rPr>
        <w:drawing>
          <wp:inline distT="0" distB="0" distL="0" distR="0" wp14:anchorId="14EF1ED7" wp14:editId="6172FE7E">
            <wp:extent cx="5758419" cy="5584190"/>
            <wp:effectExtent l="0" t="0" r="0" b="0"/>
            <wp:docPr id="19" name="Picture 19" descr="A map is presented which shows the air quality study area and the location of sensitive receptors, the 500 metre buffer, the dispersion modelling domain and the construction foot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map is presented which shows the air quality study area and the location of sensitive receptors, the 500 metre buffer, the dispersion modelling domain and the construction footprint."/>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758419" cy="5584190"/>
                    </a:xfrm>
                    <a:prstGeom prst="rect">
                      <a:avLst/>
                    </a:prstGeom>
                    <a:noFill/>
                    <a:ln>
                      <a:noFill/>
                    </a:ln>
                  </pic:spPr>
                </pic:pic>
              </a:graphicData>
            </a:graphic>
          </wp:inline>
        </w:drawing>
      </w:r>
    </w:p>
    <w:p w14:paraId="7E2DCD2E" w14:textId="77777777" w:rsidR="00FB03F8" w:rsidRPr="00FB03F8" w:rsidRDefault="00FB03F8" w:rsidP="00FB03F8">
      <w:pPr>
        <w:pStyle w:val="Source"/>
      </w:pPr>
    </w:p>
    <w:p w14:paraId="57B15CBF" w14:textId="77777777" w:rsidR="002438D7" w:rsidRPr="00540FAB" w:rsidRDefault="002438D7" w:rsidP="002438D7">
      <w:pPr>
        <w:pStyle w:val="Heading5"/>
      </w:pPr>
      <w:bookmarkStart w:id="92" w:name="_Toc69469616"/>
      <w:r w:rsidRPr="00E65F64">
        <w:t>Landscape and visual</w:t>
      </w:r>
      <w:bookmarkEnd w:id="92"/>
    </w:p>
    <w:p w14:paraId="4A3FE334" w14:textId="77777777" w:rsidR="002438D7" w:rsidRDefault="002438D7" w:rsidP="002438D7">
      <w:r w:rsidRPr="00E92AE0">
        <w:t xml:space="preserve">The evaluation objective outlined in the Minister’s scoping requirements for this EES in relation to </w:t>
      </w:r>
      <w:r>
        <w:t>landscape and visual</w:t>
      </w:r>
      <w:r w:rsidRPr="00E92AE0">
        <w:t xml:space="preserve"> </w:t>
      </w:r>
      <w:r>
        <w:t>is</w:t>
      </w:r>
      <w:r w:rsidRPr="00E92AE0">
        <w:t xml:space="preserve"> </w:t>
      </w:r>
      <w:r w:rsidRPr="00540FAB">
        <w:t xml:space="preserve">‘to minimise potential adverse social, economic, amenity and land use effects at local and regional </w:t>
      </w:r>
      <w:proofErr w:type="gramStart"/>
      <w:r w:rsidRPr="00540FAB">
        <w:t>scales’</w:t>
      </w:r>
      <w:proofErr w:type="gramEnd"/>
      <w:r w:rsidRPr="00E92AE0">
        <w:t>.</w:t>
      </w:r>
    </w:p>
    <w:p w14:paraId="0FFC173D" w14:textId="77777777" w:rsidR="002438D7" w:rsidRDefault="002438D7" w:rsidP="002438D7">
      <w:pPr>
        <w:pStyle w:val="Heading6"/>
      </w:pPr>
      <w:r>
        <w:lastRenderedPageBreak/>
        <w:t>Existing conditions</w:t>
      </w:r>
    </w:p>
    <w:p w14:paraId="55142E5D" w14:textId="0A9814E5" w:rsidR="002438D7" w:rsidRDefault="002438D7" w:rsidP="002438D7">
      <w:pPr>
        <w:pStyle w:val="BodyText"/>
      </w:pPr>
      <w:r>
        <w:t>Landscape character areas (</w:t>
      </w:r>
      <w:proofErr w:type="spellStart"/>
      <w:r>
        <w:t>LCA</w:t>
      </w:r>
      <w:proofErr w:type="spellEnd"/>
      <w:r>
        <w:t xml:space="preserve">) were identified to establish the existing landscape character and to provide a framework for assessing the impact of the </w:t>
      </w:r>
      <w:r w:rsidR="00021FC6">
        <w:t>P</w:t>
      </w:r>
      <w:r>
        <w:t xml:space="preserve">roject on the landscape. </w:t>
      </w:r>
      <w:r w:rsidRPr="0016435D">
        <w:t xml:space="preserve">The </w:t>
      </w:r>
      <w:proofErr w:type="spellStart"/>
      <w:r w:rsidRPr="0016435D">
        <w:t>LCAs</w:t>
      </w:r>
      <w:proofErr w:type="spellEnd"/>
      <w:r w:rsidRPr="0016435D">
        <w:t xml:space="preserve"> identify areas that share the same homogenous environmental or cultural qualities or pattern such as topography, vegetation, hydrology, land use and settlement, built form scale and character, cultural and recreational characteristics</w:t>
      </w:r>
      <w:r>
        <w:t>.</w:t>
      </w:r>
      <w:r w:rsidR="006B0D57">
        <w:t xml:space="preserve"> The six </w:t>
      </w:r>
      <w:proofErr w:type="spellStart"/>
      <w:r w:rsidR="006B0D57">
        <w:t>LCAs</w:t>
      </w:r>
      <w:proofErr w:type="spellEnd"/>
      <w:r w:rsidR="006B0D57">
        <w:t xml:space="preserve"> are shown in </w:t>
      </w:r>
      <w:r w:rsidR="006B0D57">
        <w:fldChar w:fldCharType="begin"/>
      </w:r>
      <w:r w:rsidR="006B0D57">
        <w:instrText xml:space="preserve"> REF _Ref70329721 \h </w:instrText>
      </w:r>
      <w:r w:rsidR="006B0D57">
        <w:fldChar w:fldCharType="separate"/>
      </w:r>
      <w:r w:rsidR="007829FC">
        <w:t>Figure </w:t>
      </w:r>
      <w:r w:rsidR="007829FC">
        <w:rPr>
          <w:noProof/>
        </w:rPr>
        <w:t>15</w:t>
      </w:r>
      <w:r w:rsidR="006B0D57">
        <w:fldChar w:fldCharType="end"/>
      </w:r>
      <w:r w:rsidR="000D4620">
        <w:t xml:space="preserve"> and </w:t>
      </w:r>
      <w:r w:rsidR="000D4620">
        <w:fldChar w:fldCharType="begin"/>
      </w:r>
      <w:r w:rsidR="000D4620">
        <w:instrText xml:space="preserve"> REF _Ref70329751 \h </w:instrText>
      </w:r>
      <w:r w:rsidR="000D4620">
        <w:fldChar w:fldCharType="separate"/>
      </w:r>
      <w:r w:rsidR="007829FC">
        <w:t>Figure </w:t>
      </w:r>
      <w:r w:rsidR="007829FC">
        <w:rPr>
          <w:noProof/>
        </w:rPr>
        <w:t>16</w:t>
      </w:r>
      <w:r w:rsidR="000D4620">
        <w:fldChar w:fldCharType="end"/>
      </w:r>
      <w:r w:rsidR="000D4620">
        <w:t>.</w:t>
      </w:r>
    </w:p>
    <w:p w14:paraId="02439043" w14:textId="218F0377" w:rsidR="002438D7" w:rsidRDefault="002438D7" w:rsidP="002438D7">
      <w:pPr>
        <w:pStyle w:val="BodyText"/>
      </w:pPr>
      <w:r>
        <w:t>The existing conditions assessment identified that a significant portion of land within the study area is experiencing rapid development of residential areas, where construction activity would already be common occurrence in these areas. Additionally, in rural areas as well as along major roads and highways, construction type activity would also be observed in relation to farming activity and as part of road upgrade and maintenance works.</w:t>
      </w:r>
    </w:p>
    <w:p w14:paraId="246EB3A0" w14:textId="6E337B16" w:rsidR="006B0D57" w:rsidRDefault="006B0D57" w:rsidP="006B0D57">
      <w:pPr>
        <w:pStyle w:val="Caption"/>
      </w:pPr>
      <w:bookmarkStart w:id="93" w:name="_Ref70329721"/>
      <w:r>
        <w:t>Figure</w:t>
      </w:r>
      <w:r w:rsidR="00FB03F8">
        <w:t> </w:t>
      </w:r>
      <w:r w:rsidR="00113B39">
        <w:fldChar w:fldCharType="begin"/>
      </w:r>
      <w:r w:rsidR="00113B39">
        <w:instrText xml:space="preserve"> SEQ Figure \* ARABIC </w:instrText>
      </w:r>
      <w:r w:rsidR="00113B39">
        <w:fldChar w:fldCharType="separate"/>
      </w:r>
      <w:r w:rsidR="007829FC">
        <w:rPr>
          <w:noProof/>
        </w:rPr>
        <w:t>15</w:t>
      </w:r>
      <w:r w:rsidR="00113B39">
        <w:rPr>
          <w:noProof/>
        </w:rPr>
        <w:fldChar w:fldCharType="end"/>
      </w:r>
      <w:bookmarkEnd w:id="93"/>
      <w:r>
        <w:tab/>
        <w:t>Landscape and visual study area and landscape character areas (Part 1)</w:t>
      </w:r>
    </w:p>
    <w:p w14:paraId="0684BCB5" w14:textId="763608DE" w:rsidR="006B0D57" w:rsidRDefault="006B0D57" w:rsidP="00FB03F8">
      <w:pPr>
        <w:pStyle w:val="Object"/>
      </w:pPr>
      <w:r w:rsidRPr="006B0D57">
        <w:rPr>
          <w:noProof/>
        </w:rPr>
        <w:drawing>
          <wp:inline distT="0" distB="0" distL="0" distR="0" wp14:anchorId="59D641B6" wp14:editId="5990DFDE">
            <wp:extent cx="5759450" cy="5556885"/>
            <wp:effectExtent l="0" t="0" r="0" b="5715"/>
            <wp:docPr id="22" name="Picture 22" descr="A map is presented which shows the Landscape Character Areas (LCA) from KP 0 to KP 25 along the pipeline alignment. The LCA present from KP0 to KP5 includes LCA6 (Land subject to change), LCA1 (Creek Corridor) and LCA4 (Residential and urban growth). The LCA present from KP5 to KP10 includes LCA3 (Flat to gently undulating farmland) and LCA4 (Residential and urban growth). The LCA present from KP10 to KP15 includes LCA5 (Semi rural residential), LCA1 (Creek Corridor) and LCA3 (Flat to gently undulating farmland). The LCA present from KP15 to KP20  includes LCA5 (Semi rural residential), LCA1 (Creek Corridor), LCA2 (Extractive industry) and LCA3 (Flat to gently undulating farmland).  The LCA present from KP20 to KP25 includes LCA2 (Extractive industry) and LCA3 (Flat to gently undulating farm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map is presented which shows the Landscape Character Areas (LCA) from KP 0 to KP 25 along the pipeline alignment. The LCA present from KP0 to KP5 includes LCA6 (Land subject to change), LCA1 (Creek Corridor) and LCA4 (Residential and urban growth). The LCA present from KP5 to KP10 includes LCA3 (Flat to gently undulating farmland) and LCA4 (Residential and urban growth). The LCA present from KP10 to KP15 includes LCA5 (Semi rural residential), LCA1 (Creek Corridor) and LCA3 (Flat to gently undulating farmland). The LCA present from KP15 to KP20  includes LCA5 (Semi rural residential), LCA1 (Creek Corridor), LCA2 (Extractive industry) and LCA3 (Flat to gently undulating farmland).  The LCA present from KP20 to KP25 includes LCA2 (Extractive industry) and LCA3 (Flat to gently undulating farmland). "/>
                    <pic:cNvPicPr/>
                  </pic:nvPicPr>
                  <pic:blipFill>
                    <a:blip r:embed="rId35"/>
                    <a:stretch>
                      <a:fillRect/>
                    </a:stretch>
                  </pic:blipFill>
                  <pic:spPr>
                    <a:xfrm>
                      <a:off x="0" y="0"/>
                      <a:ext cx="5759450" cy="5556885"/>
                    </a:xfrm>
                    <a:prstGeom prst="rect">
                      <a:avLst/>
                    </a:prstGeom>
                  </pic:spPr>
                </pic:pic>
              </a:graphicData>
            </a:graphic>
          </wp:inline>
        </w:drawing>
      </w:r>
    </w:p>
    <w:p w14:paraId="5198BFBE" w14:textId="093CD4E0" w:rsidR="006B0D57" w:rsidRDefault="006B0D57" w:rsidP="006B0D57">
      <w:pPr>
        <w:pStyle w:val="Caption"/>
      </w:pPr>
      <w:bookmarkStart w:id="94" w:name="_Ref70329751"/>
      <w:r>
        <w:lastRenderedPageBreak/>
        <w:t>Figure</w:t>
      </w:r>
      <w:r w:rsidR="00FB03F8">
        <w:t> </w:t>
      </w:r>
      <w:r w:rsidR="00113B39">
        <w:fldChar w:fldCharType="begin"/>
      </w:r>
      <w:r w:rsidR="00113B39">
        <w:instrText xml:space="preserve"> SEQ Figure \* ARABIC </w:instrText>
      </w:r>
      <w:r w:rsidR="00113B39">
        <w:fldChar w:fldCharType="separate"/>
      </w:r>
      <w:r w:rsidR="007829FC">
        <w:rPr>
          <w:noProof/>
        </w:rPr>
        <w:t>16</w:t>
      </w:r>
      <w:r w:rsidR="00113B39">
        <w:rPr>
          <w:noProof/>
        </w:rPr>
        <w:fldChar w:fldCharType="end"/>
      </w:r>
      <w:bookmarkEnd w:id="94"/>
      <w:r>
        <w:tab/>
        <w:t>Landscape and visual study area and landscape character areas (Part 2)</w:t>
      </w:r>
    </w:p>
    <w:p w14:paraId="11FF2A62" w14:textId="56EED81A" w:rsidR="006B0D57" w:rsidRDefault="006B0D57" w:rsidP="00FB03F8">
      <w:pPr>
        <w:pStyle w:val="Object"/>
      </w:pPr>
      <w:r w:rsidRPr="006B0D57">
        <w:rPr>
          <w:noProof/>
        </w:rPr>
        <w:drawing>
          <wp:inline distT="0" distB="0" distL="0" distR="0" wp14:anchorId="3A379A54" wp14:editId="689ACDE0">
            <wp:extent cx="5759450" cy="5546090"/>
            <wp:effectExtent l="0" t="0" r="0" b="0"/>
            <wp:docPr id="23" name="Picture 23" descr="A map is presented which shows the Landscape Character Areas (LCA) from KP 25 to KP 50 along the pipeline alignment. The LCA present from KP25 to KP30 includes LCA3 (Flat to gently undulating farmland), LCA1 (Creek corridor), LCA6 (Land subject to change) and LCA4 (Residential and urban growth). The LCA present from KP30 to KP35 includes LCA3 (Flat to gently undulating farmland), LCA6 (Land subject to change) and LCA4 (Residential and urban growth). The LCA present from KP35 to KP40 includes LCA6 (Land subject to change). The LCA present from KP40 to KP45 includes LCA3 (Flat to gently undulating farmland) and  LCA6 (Land subject to change).The LCA present from KP45 to KP50 includes LCA3 (Flat to gently undulating farm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map is presented which shows the Landscape Character Areas (LCA) from KP 25 to KP 50 along the pipeline alignment. The LCA present from KP25 to KP30 includes LCA3 (Flat to gently undulating farmland), LCA1 (Creek corridor), LCA6 (Land subject to change) and LCA4 (Residential and urban growth). The LCA present from KP30 to KP35 includes LCA3 (Flat to gently undulating farmland), LCA6 (Land subject to change) and LCA4 (Residential and urban growth). The LCA present from KP35 to KP40 includes LCA6 (Land subject to change). The LCA present from KP40 to KP45 includes LCA3 (Flat to gently undulating farmland) and  LCA6 (Land subject to change).The LCA present from KP45 to KP50 includes LCA3 (Flat to gently undulating farmland)."/>
                    <pic:cNvPicPr/>
                  </pic:nvPicPr>
                  <pic:blipFill>
                    <a:blip r:embed="rId36"/>
                    <a:stretch>
                      <a:fillRect/>
                    </a:stretch>
                  </pic:blipFill>
                  <pic:spPr>
                    <a:xfrm>
                      <a:off x="0" y="0"/>
                      <a:ext cx="5759450" cy="5546090"/>
                    </a:xfrm>
                    <a:prstGeom prst="rect">
                      <a:avLst/>
                    </a:prstGeom>
                  </pic:spPr>
                </pic:pic>
              </a:graphicData>
            </a:graphic>
          </wp:inline>
        </w:drawing>
      </w:r>
    </w:p>
    <w:p w14:paraId="75021215" w14:textId="77777777" w:rsidR="002438D7" w:rsidRPr="007968A0" w:rsidRDefault="002438D7" w:rsidP="002438D7">
      <w:pPr>
        <w:pStyle w:val="Heading6"/>
      </w:pPr>
      <w:r>
        <w:t>Impact assessment</w:t>
      </w:r>
    </w:p>
    <w:p w14:paraId="6B7CB53A" w14:textId="77777777" w:rsidR="002438D7" w:rsidRDefault="002438D7" w:rsidP="002438D7">
      <w:pPr>
        <w:pStyle w:val="BodyText"/>
      </w:pPr>
      <w:r>
        <w:t xml:space="preserve">The potential landscape and visual residual impacts </w:t>
      </w:r>
      <w:proofErr w:type="gramStart"/>
      <w:r>
        <w:t>as a result of</w:t>
      </w:r>
      <w:proofErr w:type="gramEnd"/>
      <w:r>
        <w:t xml:space="preserve"> the Project have been assessed as low given the short duration and temporary nature of the proposed construction activities, the pipeline being located underground, and the nature of the existing landscape.</w:t>
      </w:r>
    </w:p>
    <w:p w14:paraId="28B61C9D" w14:textId="3B8EE874" w:rsidR="002438D7" w:rsidRDefault="002438D7" w:rsidP="002438D7">
      <w:pPr>
        <w:pStyle w:val="BodyText"/>
      </w:pPr>
      <w:r>
        <w:t xml:space="preserve">Vegetation clearance required for the pipeline generally presented the most significant landscape and visual impacts, particularly within areas of </w:t>
      </w:r>
      <w:proofErr w:type="gramStart"/>
      <w:r>
        <w:t>close proximity</w:t>
      </w:r>
      <w:proofErr w:type="gramEnd"/>
      <w:r>
        <w:t xml:space="preserve"> to creek corridors and semi-rural residential areas along the pipeline alignment. Landscape character impacts were assigned a moderate overall significance pre-mitigation but with mitigation the residual impact is assessed as low to negligible across all </w:t>
      </w:r>
      <w:proofErr w:type="spellStart"/>
      <w:r>
        <w:t>LCAs</w:t>
      </w:r>
      <w:proofErr w:type="spellEnd"/>
      <w:r>
        <w:t>. Rehabilitation of land and replacement of vegetation buffers where practicable would ensure that impacts on views from public places or private residences with existing screening from road reserves would be low.</w:t>
      </w:r>
    </w:p>
    <w:p w14:paraId="6D747DA9" w14:textId="77777777" w:rsidR="002438D7" w:rsidRDefault="002438D7" w:rsidP="002438D7">
      <w:pPr>
        <w:pStyle w:val="BodyText"/>
      </w:pPr>
      <w:proofErr w:type="spellStart"/>
      <w:r>
        <w:lastRenderedPageBreak/>
        <w:t>MLV1</w:t>
      </w:r>
      <w:proofErr w:type="spellEnd"/>
      <w:r>
        <w:t xml:space="preserve"> would be co-located with the existing Sunbury Pipeline facility and MLV 2 would be screened from view given the existing roadside vegetation at the site. </w:t>
      </w:r>
      <w:proofErr w:type="spellStart"/>
      <w:r>
        <w:t>MLV3</w:t>
      </w:r>
      <w:proofErr w:type="spellEnd"/>
      <w:r>
        <w:t xml:space="preserve"> would represent a discernible change to the existing view, however it has the potential to be mitigated through applications such as planting to provide screening from roads or residences.</w:t>
      </w:r>
    </w:p>
    <w:p w14:paraId="2905B94D" w14:textId="292B3DCC" w:rsidR="002438D7" w:rsidRDefault="002438D7" w:rsidP="002438D7">
      <w:pPr>
        <w:pStyle w:val="BodyText"/>
      </w:pPr>
      <w:r>
        <w:t xml:space="preserve">Lighting impacts </w:t>
      </w:r>
      <w:proofErr w:type="gramStart"/>
      <w:r>
        <w:t>as a result of</w:t>
      </w:r>
      <w:proofErr w:type="gramEnd"/>
      <w:r>
        <w:t xml:space="preserve"> the Project are expected to have negligible residual impact given their temporary nature and due to the nearest dwelling being located approximately 350</w:t>
      </w:r>
      <w:r w:rsidR="00276150">
        <w:t xml:space="preserve"> metres </w:t>
      </w:r>
      <w:r>
        <w:t xml:space="preserve">away from an HDD site (Deep Creek). There would be no </w:t>
      </w:r>
      <w:proofErr w:type="gramStart"/>
      <w:r>
        <w:t>night time</w:t>
      </w:r>
      <w:proofErr w:type="gramEnd"/>
      <w:r>
        <w:t xml:space="preserve"> lighting from construction of the Project which is directly adjacent to residential areas elsewhere along the Project alignment.</w:t>
      </w:r>
    </w:p>
    <w:p w14:paraId="5BA29105" w14:textId="77777777" w:rsidR="002438D7" w:rsidRDefault="002438D7" w:rsidP="002438D7">
      <w:pPr>
        <w:pStyle w:val="BodyText"/>
      </w:pPr>
      <w:r>
        <w:t>The application of the management measures would minimise the residual landscape and visual impacts to low or negligible across the alignment.</w:t>
      </w:r>
    </w:p>
    <w:p w14:paraId="06A242B0" w14:textId="77777777" w:rsidR="002438D7" w:rsidRDefault="002438D7" w:rsidP="002438D7">
      <w:pPr>
        <w:pStyle w:val="Heading6"/>
      </w:pPr>
      <w:r>
        <w:t>Management measures</w:t>
      </w:r>
    </w:p>
    <w:p w14:paraId="19E5138F" w14:textId="36154F39" w:rsidR="002438D7" w:rsidRPr="00540FAB" w:rsidRDefault="002438D7" w:rsidP="002438D7">
      <w:pPr>
        <w:pStyle w:val="BodyText"/>
      </w:pPr>
      <w:r>
        <w:t>Tree removal would be a</w:t>
      </w:r>
      <w:r w:rsidRPr="00540FAB">
        <w:t>void</w:t>
      </w:r>
      <w:r>
        <w:t>ed</w:t>
      </w:r>
      <w:r w:rsidRPr="00540FAB">
        <w:t xml:space="preserve"> as far as reasonably practicable</w:t>
      </w:r>
      <w:r w:rsidR="00FC0DCE">
        <w:t xml:space="preserve"> through design and alignment considerations</w:t>
      </w:r>
      <w:r>
        <w:t xml:space="preserve">. </w:t>
      </w:r>
      <w:r w:rsidRPr="00540FAB">
        <w:t xml:space="preserve">Where trees and shrubs within the approved construction area are lost and affect public places or existing screening of private residences from road reserves, </w:t>
      </w:r>
      <w:r>
        <w:t>t</w:t>
      </w:r>
      <w:r w:rsidRPr="00540FAB">
        <w:t xml:space="preserve">rees </w:t>
      </w:r>
      <w:r>
        <w:t>would be replaced</w:t>
      </w:r>
      <w:r w:rsidRPr="00540FAB">
        <w:t xml:space="preserve"> where practicable, reasonably requested and in consultation with the affected landholder and/or responsible authority</w:t>
      </w:r>
      <w:r>
        <w:t xml:space="preserve">. A </w:t>
      </w:r>
      <w:r w:rsidRPr="00540FAB">
        <w:t xml:space="preserve">planting and remediation plan </w:t>
      </w:r>
      <w:r>
        <w:t xml:space="preserve">would guide </w:t>
      </w:r>
      <w:r w:rsidRPr="00540FAB">
        <w:t>planting of trees and shrubs, in consultation with any affected landowners and consistent with APA guidelines on uses within an easement</w:t>
      </w:r>
      <w:r>
        <w:t>.</w:t>
      </w:r>
    </w:p>
    <w:p w14:paraId="042C2294" w14:textId="77777777" w:rsidR="002438D7" w:rsidRDefault="002438D7" w:rsidP="002438D7">
      <w:pPr>
        <w:pStyle w:val="Heading5"/>
      </w:pPr>
      <w:bookmarkStart w:id="95" w:name="_Toc69469617"/>
      <w:r w:rsidRPr="00E65F64">
        <w:t>Land use</w:t>
      </w:r>
      <w:bookmarkEnd w:id="95"/>
    </w:p>
    <w:p w14:paraId="2C374223" w14:textId="77777777" w:rsidR="002438D7" w:rsidRPr="00540FAB" w:rsidRDefault="002438D7" w:rsidP="00FB03F8">
      <w:pPr>
        <w:pStyle w:val="BodyText"/>
      </w:pPr>
      <w:r w:rsidRPr="00E92AE0">
        <w:t xml:space="preserve">The evaluation objective outlined in the Minister’s scoping requirements for this EES in relation to </w:t>
      </w:r>
      <w:r>
        <w:t>land use</w:t>
      </w:r>
      <w:r w:rsidRPr="00E92AE0">
        <w:t xml:space="preserve"> </w:t>
      </w:r>
      <w:r>
        <w:t>is</w:t>
      </w:r>
      <w:r w:rsidRPr="00E92AE0">
        <w:t xml:space="preserve"> </w:t>
      </w:r>
      <w:r w:rsidRPr="00540FAB">
        <w:t xml:space="preserve">‘to minimise potential adverse social, economic, amenity and land use effects at local and regional </w:t>
      </w:r>
      <w:proofErr w:type="gramStart"/>
      <w:r w:rsidRPr="00540FAB">
        <w:t>scales’</w:t>
      </w:r>
      <w:proofErr w:type="gramEnd"/>
      <w:r>
        <w:t>.</w:t>
      </w:r>
    </w:p>
    <w:p w14:paraId="5EF0FF4C" w14:textId="77777777" w:rsidR="002438D7" w:rsidRDefault="002438D7" w:rsidP="002438D7">
      <w:pPr>
        <w:pStyle w:val="Heading6"/>
      </w:pPr>
      <w:r>
        <w:t>Existing conditions</w:t>
      </w:r>
    </w:p>
    <w:p w14:paraId="5E7EE47E" w14:textId="77777777" w:rsidR="002438D7" w:rsidRDefault="002438D7" w:rsidP="002438D7">
      <w:pPr>
        <w:pStyle w:val="BodyText"/>
      </w:pPr>
      <w:r>
        <w:t>T</w:t>
      </w:r>
      <w:r w:rsidRPr="00C659A2">
        <w:t xml:space="preserve">he </w:t>
      </w:r>
      <w:r>
        <w:t>Project</w:t>
      </w:r>
      <w:r w:rsidRPr="00C659A2">
        <w:t xml:space="preserve"> is located within peri-urban Melbourne, with approximately half of the</w:t>
      </w:r>
      <w:r>
        <w:t xml:space="preserve"> Project</w:t>
      </w:r>
      <w:r w:rsidRPr="00C659A2">
        <w:t xml:space="preserve"> be</w:t>
      </w:r>
      <w:r>
        <w:t xml:space="preserve">ing located within the Urban Growth Boundary (UGB) </w:t>
      </w:r>
      <w:r w:rsidRPr="00C659A2">
        <w:t xml:space="preserve">and the remaining area being within the green wedge. This area of Melbourne is undergoing significant change in land use structure which </w:t>
      </w:r>
      <w:r>
        <w:t>would</w:t>
      </w:r>
      <w:r w:rsidRPr="00C659A2">
        <w:t xml:space="preserve"> continue for the foreseeable future, including causing pressure o</w:t>
      </w:r>
      <w:r>
        <w:t>n peri-urban green wedge areas.</w:t>
      </w:r>
    </w:p>
    <w:p w14:paraId="60740ED3" w14:textId="182A6A5F" w:rsidR="00DD2249" w:rsidRDefault="002438D7" w:rsidP="00DD2249">
      <w:pPr>
        <w:pStyle w:val="BodyText"/>
      </w:pPr>
      <w:r w:rsidRPr="006833F9">
        <w:t>The Project is supported by policy within Plan Melbourne, the P</w:t>
      </w:r>
      <w:r>
        <w:t xml:space="preserve">lanning </w:t>
      </w:r>
      <w:r w:rsidRPr="006833F9">
        <w:t>P</w:t>
      </w:r>
      <w:r>
        <w:t xml:space="preserve">olicy </w:t>
      </w:r>
      <w:r w:rsidRPr="006833F9">
        <w:t>F</w:t>
      </w:r>
      <w:r>
        <w:t>ramework (</w:t>
      </w:r>
      <w:proofErr w:type="spellStart"/>
      <w:r>
        <w:t>PPF</w:t>
      </w:r>
      <w:proofErr w:type="spellEnd"/>
      <w:r>
        <w:t>)</w:t>
      </w:r>
      <w:r w:rsidRPr="006833F9">
        <w:t xml:space="preserve"> and Municipal Strategic Statement (MSS) of each municipality, in that it addresses a key gap in the VTS, while not prejudicing existing agricultural land uses within green wedges.</w:t>
      </w:r>
      <w:r w:rsidR="00673D3E">
        <w:t xml:space="preserve"> The land use study area and approved Precinct Structure Plans (PSPs) is illustrated in </w:t>
      </w:r>
      <w:r w:rsidR="00673D3E">
        <w:fldChar w:fldCharType="begin"/>
      </w:r>
      <w:r w:rsidR="00673D3E">
        <w:instrText xml:space="preserve"> REF _Ref70330950 \h </w:instrText>
      </w:r>
      <w:r w:rsidR="00DD2249">
        <w:instrText xml:space="preserve"> \* MERGEFORMAT </w:instrText>
      </w:r>
      <w:r w:rsidR="00673D3E">
        <w:fldChar w:fldCharType="separate"/>
      </w:r>
      <w:r w:rsidR="00E94BD2">
        <w:t>Figure 17</w:t>
      </w:r>
      <w:r w:rsidR="00673D3E">
        <w:fldChar w:fldCharType="end"/>
      </w:r>
      <w:r w:rsidR="00673D3E">
        <w:t>.</w:t>
      </w:r>
      <w:r w:rsidR="00DD2249" w:rsidRPr="00DD2249">
        <w:t xml:space="preserve"> </w:t>
      </w:r>
    </w:p>
    <w:p w14:paraId="2824C412" w14:textId="2220D40F" w:rsidR="00DD2249" w:rsidRPr="00C659A2" w:rsidRDefault="00DD2249" w:rsidP="00DD2249">
      <w:pPr>
        <w:pStyle w:val="Heading6"/>
      </w:pPr>
      <w:r>
        <w:t>Impact Assessment</w:t>
      </w:r>
    </w:p>
    <w:p w14:paraId="2582AB1A" w14:textId="77777777" w:rsidR="00DD2249" w:rsidRPr="00B31B71" w:rsidRDefault="00DD2249" w:rsidP="00DD2249">
      <w:pPr>
        <w:pStyle w:val="BodyText"/>
      </w:pPr>
      <w:r w:rsidRPr="00B03A0B">
        <w:t xml:space="preserve">Prior to construction, APA </w:t>
      </w:r>
      <w:r>
        <w:t>would</w:t>
      </w:r>
      <w:r w:rsidRPr="00B03A0B">
        <w:t xml:space="preserve"> secure land access for the pipeline construction and </w:t>
      </w:r>
      <w:proofErr w:type="gramStart"/>
      <w:r w:rsidRPr="00B03A0B">
        <w:t>easement, and</w:t>
      </w:r>
      <w:proofErr w:type="gramEnd"/>
      <w:r w:rsidRPr="00B03A0B">
        <w:t xml:space="preserve"> acquire land for the three </w:t>
      </w:r>
      <w:proofErr w:type="spellStart"/>
      <w:r w:rsidRPr="00B03A0B">
        <w:t>MLVs</w:t>
      </w:r>
      <w:proofErr w:type="spellEnd"/>
      <w:r w:rsidRPr="00B03A0B">
        <w:t>. Engagement with directly affected landholders commenced in 2018 and would continue with individual negotiations through to agreement.</w:t>
      </w:r>
      <w:r>
        <w:t xml:space="preserve"> The construction of the Project may </w:t>
      </w:r>
      <w:r w:rsidRPr="002C1FFD">
        <w:t xml:space="preserve">include </w:t>
      </w:r>
      <w:r>
        <w:t>t</w:t>
      </w:r>
      <w:r w:rsidRPr="002C1FFD">
        <w:t xml:space="preserve">emporary, minor impacts on </w:t>
      </w:r>
      <w:r>
        <w:t xml:space="preserve">the continuation of </w:t>
      </w:r>
      <w:r w:rsidRPr="002C1FFD">
        <w:t>agricultural land uses. The continuation of agricultural land uses along the Project would be interrupted by occupation during construction</w:t>
      </w:r>
      <w:r>
        <w:t>, resulting in loss of access and inability to use the land</w:t>
      </w:r>
      <w:r w:rsidRPr="002C1FFD">
        <w:t xml:space="preserve">. </w:t>
      </w:r>
      <w:r>
        <w:t>Additionally, the Project may cause t</w:t>
      </w:r>
      <w:r w:rsidRPr="002C1FFD">
        <w:t xml:space="preserve">emporary, minor impacts on the amenity of surrounding land uses, particularly to established residential areas, including noise, </w:t>
      </w:r>
      <w:proofErr w:type="gramStart"/>
      <w:r w:rsidRPr="002C1FFD">
        <w:t>dust</w:t>
      </w:r>
      <w:proofErr w:type="gramEnd"/>
      <w:r w:rsidRPr="002C1FFD">
        <w:t xml:space="preserve"> and vibration during construction.</w:t>
      </w:r>
    </w:p>
    <w:p w14:paraId="28F8C10E" w14:textId="6A90E769" w:rsidR="00673D3E" w:rsidRDefault="00673D3E" w:rsidP="00673D3E">
      <w:pPr>
        <w:pStyle w:val="Caption"/>
      </w:pPr>
      <w:bookmarkStart w:id="96" w:name="_Ref70330950"/>
      <w:r>
        <w:lastRenderedPageBreak/>
        <w:t>Figure</w:t>
      </w:r>
      <w:r w:rsidR="00FB03F8">
        <w:t> </w:t>
      </w:r>
      <w:r w:rsidR="00113B39">
        <w:fldChar w:fldCharType="begin"/>
      </w:r>
      <w:r w:rsidR="00113B39">
        <w:instrText xml:space="preserve"> SEQ Figure \* ARABIC </w:instrText>
      </w:r>
      <w:r w:rsidR="00113B39">
        <w:fldChar w:fldCharType="separate"/>
      </w:r>
      <w:r w:rsidR="007829FC">
        <w:rPr>
          <w:noProof/>
        </w:rPr>
        <w:t>17</w:t>
      </w:r>
      <w:r w:rsidR="00113B39">
        <w:rPr>
          <w:noProof/>
        </w:rPr>
        <w:fldChar w:fldCharType="end"/>
      </w:r>
      <w:bookmarkEnd w:id="96"/>
      <w:r>
        <w:tab/>
        <w:t>Land use study area and surrounding PSPs</w:t>
      </w:r>
    </w:p>
    <w:p w14:paraId="79981280" w14:textId="1ACDF8AC" w:rsidR="00673D3E" w:rsidRDefault="00673D3E" w:rsidP="00FB03F8">
      <w:pPr>
        <w:pStyle w:val="Object"/>
        <w:rPr>
          <w:highlight w:val="yellow"/>
        </w:rPr>
      </w:pPr>
      <w:r w:rsidRPr="00673D3E">
        <w:rPr>
          <w:noProof/>
        </w:rPr>
        <w:drawing>
          <wp:inline distT="0" distB="0" distL="0" distR="0" wp14:anchorId="7BF2BB4D" wp14:editId="3E93A5ED">
            <wp:extent cx="5759450" cy="5584825"/>
            <wp:effectExtent l="0" t="0" r="0" b="0"/>
            <wp:docPr id="29" name="Picture 29" descr="Map is presented showing the land use and approved PSP's surrounding the pipeline alignment,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 is presented showing the land use and approved PSP's surrounding the pipeline alignment, as described in the text above."/>
                    <pic:cNvPicPr/>
                  </pic:nvPicPr>
                  <pic:blipFill>
                    <a:blip r:embed="rId37">
                      <a:extLst>
                        <a:ext uri="{28A0092B-C50C-407E-A947-70E740481C1C}">
                          <a14:useLocalDpi xmlns:a14="http://schemas.microsoft.com/office/drawing/2010/main" val="0"/>
                        </a:ext>
                      </a:extLst>
                    </a:blip>
                    <a:stretch>
                      <a:fillRect/>
                    </a:stretch>
                  </pic:blipFill>
                  <pic:spPr>
                    <a:xfrm>
                      <a:off x="0" y="0"/>
                      <a:ext cx="5759450" cy="5584825"/>
                    </a:xfrm>
                    <a:prstGeom prst="rect">
                      <a:avLst/>
                    </a:prstGeom>
                  </pic:spPr>
                </pic:pic>
              </a:graphicData>
            </a:graphic>
          </wp:inline>
        </w:drawing>
      </w:r>
    </w:p>
    <w:p w14:paraId="48053F83" w14:textId="553A035A" w:rsidR="002438D7" w:rsidRDefault="002438D7" w:rsidP="002438D7">
      <w:pPr>
        <w:pStyle w:val="BodyText"/>
      </w:pPr>
      <w:r w:rsidRPr="00950E2E">
        <w:t xml:space="preserve">During operation, </w:t>
      </w:r>
      <w:r>
        <w:t>the Project is controlled through the provisions of the Pipelines Act. T</w:t>
      </w:r>
      <w:r w:rsidRPr="00950E2E">
        <w:t xml:space="preserve">here would be restrictions on the use and development of land within the </w:t>
      </w:r>
      <w:proofErr w:type="gramStart"/>
      <w:r w:rsidRPr="00950E2E">
        <w:t>15 m</w:t>
      </w:r>
      <w:r w:rsidR="000E445E">
        <w:t>etre</w:t>
      </w:r>
      <w:proofErr w:type="gramEnd"/>
      <w:r w:rsidRPr="00950E2E">
        <w:t xml:space="preserve"> easement corridor</w:t>
      </w:r>
      <w:r>
        <w:t>. Existing agricultural uses would be able to continue following rehabilitation of the construction corridor.</w:t>
      </w:r>
      <w:r w:rsidR="0006514B">
        <w:t xml:space="preserve"> In</w:t>
      </w:r>
      <w:r w:rsidR="00FB03F8">
        <w:t> </w:t>
      </w:r>
      <w:r w:rsidR="0006514B">
        <w:t xml:space="preserve">addition, in the Area of Consequence, APA would seek to monitor and potentially restrict the establishment of new sensitive uses as defined in </w:t>
      </w:r>
      <w:proofErr w:type="spellStart"/>
      <w:r w:rsidR="0006514B">
        <w:t>AS2885</w:t>
      </w:r>
      <w:proofErr w:type="spellEnd"/>
      <w:r w:rsidR="0006514B">
        <w:t>.</w:t>
      </w:r>
    </w:p>
    <w:p w14:paraId="0C62506C" w14:textId="0E6A6136" w:rsidR="002438D7" w:rsidRDefault="002438D7" w:rsidP="002438D7">
      <w:pPr>
        <w:pStyle w:val="BodyText"/>
      </w:pPr>
      <w:r>
        <w:t xml:space="preserve">The </w:t>
      </w:r>
      <w:r w:rsidRPr="0082108F">
        <w:t>pipeline easement provide</w:t>
      </w:r>
      <w:r>
        <w:t>s</w:t>
      </w:r>
      <w:r w:rsidRPr="0082108F">
        <w:t xml:space="preserve"> a</w:t>
      </w:r>
      <w:r>
        <w:t xml:space="preserve">n </w:t>
      </w:r>
      <w:r w:rsidRPr="0082108F">
        <w:t>opportunity to increase open space</w:t>
      </w:r>
      <w:r>
        <w:t xml:space="preserve"> and amenity</w:t>
      </w:r>
      <w:r w:rsidRPr="0082108F">
        <w:t xml:space="preserve"> within new urban areas. </w:t>
      </w:r>
      <w:r w:rsidR="00FA4711" w:rsidRPr="00FA4711">
        <w:t>While APA would encourage the establishment of active open space within its easements, it would ultimately be the decision of the landowner as to whether to landscape noting this would be in accordance with APA's Site Planning and Landscape National Guidelines.</w:t>
      </w:r>
      <w:r w:rsidR="00FA4711">
        <w:t xml:space="preserve"> </w:t>
      </w:r>
    </w:p>
    <w:p w14:paraId="32B3EBD1" w14:textId="0B0F66AD" w:rsidR="002438D7" w:rsidRPr="00743782" w:rsidRDefault="002438D7" w:rsidP="002438D7">
      <w:pPr>
        <w:pStyle w:val="BodyText"/>
      </w:pPr>
      <w:r w:rsidRPr="00743782">
        <w:t xml:space="preserve">The </w:t>
      </w:r>
      <w:r>
        <w:t>Project</w:t>
      </w:r>
      <w:r w:rsidRPr="00743782">
        <w:t xml:space="preserve"> has been refined in negotiation with the Department of Transport so that the future use of land for the </w:t>
      </w:r>
      <w:r>
        <w:t>OMR/</w:t>
      </w:r>
      <w:proofErr w:type="spellStart"/>
      <w:r>
        <w:t>E6</w:t>
      </w:r>
      <w:proofErr w:type="spellEnd"/>
      <w:r>
        <w:t xml:space="preserve"> Transport corridor</w:t>
      </w:r>
      <w:r w:rsidRPr="00743782">
        <w:t xml:space="preserve"> is not prejudiced by the </w:t>
      </w:r>
      <w:r>
        <w:t>Project</w:t>
      </w:r>
      <w:r w:rsidR="00FC0DCE">
        <w:t>, subject to Department of Transport information</w:t>
      </w:r>
      <w:r w:rsidRPr="00743782">
        <w:t>.</w:t>
      </w:r>
    </w:p>
    <w:p w14:paraId="3B6A8DB0" w14:textId="77777777" w:rsidR="002438D7" w:rsidRDefault="002438D7" w:rsidP="002438D7">
      <w:pPr>
        <w:pStyle w:val="Heading6"/>
      </w:pPr>
      <w:r>
        <w:lastRenderedPageBreak/>
        <w:t>Management measures</w:t>
      </w:r>
    </w:p>
    <w:p w14:paraId="01CA6DD6" w14:textId="77777777" w:rsidR="002438D7" w:rsidRPr="007E05C8" w:rsidRDefault="002438D7" w:rsidP="002438D7">
      <w:pPr>
        <w:pStyle w:val="BodyText"/>
      </w:pPr>
      <w:r>
        <w:t>Minimisation of land use impacts</w:t>
      </w:r>
      <w:r w:rsidRPr="008A6B27">
        <w:t xml:space="preserve"> has been achieved primarily by avoiding commercial, residential, industrial and community land uses</w:t>
      </w:r>
      <w:r>
        <w:t xml:space="preserve">. In addition, </w:t>
      </w:r>
      <w:r w:rsidRPr="008A6B27">
        <w:t xml:space="preserve">a </w:t>
      </w:r>
      <w:r>
        <w:t>Construction Environment Management Plan (CEMP)</w:t>
      </w:r>
      <w:r w:rsidRPr="008A6B27">
        <w:t>, Project Consultation Plan, and Traffic Management Plan</w:t>
      </w:r>
      <w:r>
        <w:t>, amongst other measures will be utilised to further minimise impacts on individual land uses.</w:t>
      </w:r>
      <w:r w:rsidRPr="008A6B27">
        <w:t xml:space="preserve"> Where construction impacts cannot be minimised or avoided through HDD or boring, land rehabilitation would be undertaken.</w:t>
      </w:r>
    </w:p>
    <w:p w14:paraId="4DE45680" w14:textId="77777777" w:rsidR="002438D7" w:rsidRDefault="002438D7" w:rsidP="002438D7">
      <w:pPr>
        <w:pStyle w:val="Heading5"/>
      </w:pPr>
      <w:bookmarkStart w:id="97" w:name="_Toc69469618"/>
      <w:r w:rsidRPr="00E65F64">
        <w:t>Social</w:t>
      </w:r>
      <w:bookmarkEnd w:id="97"/>
    </w:p>
    <w:p w14:paraId="4BD74957" w14:textId="77777777" w:rsidR="002438D7" w:rsidRDefault="002438D7" w:rsidP="002438D7">
      <w:pPr>
        <w:pStyle w:val="BodyText"/>
      </w:pPr>
      <w:r w:rsidRPr="00E92AE0">
        <w:t xml:space="preserve">The evaluation objective outlined in the Minister’s scoping requirements for this EES in relation to </w:t>
      </w:r>
      <w:r>
        <w:t>social impacts</w:t>
      </w:r>
      <w:r w:rsidRPr="00E92AE0">
        <w:t xml:space="preserve"> </w:t>
      </w:r>
      <w:r>
        <w:t>is</w:t>
      </w:r>
      <w:r w:rsidRPr="00E92AE0">
        <w:t xml:space="preserve"> </w:t>
      </w:r>
      <w:r w:rsidRPr="00540FAB">
        <w:t xml:space="preserve">‘to minimise potential adverse social, economic, amenity and land use effects at local and regional </w:t>
      </w:r>
      <w:proofErr w:type="gramStart"/>
      <w:r w:rsidRPr="00540FAB">
        <w:t>scales’</w:t>
      </w:r>
      <w:proofErr w:type="gramEnd"/>
      <w:r>
        <w:t>.</w:t>
      </w:r>
    </w:p>
    <w:p w14:paraId="1D255B1C" w14:textId="77777777" w:rsidR="002438D7" w:rsidRPr="00656568" w:rsidRDefault="002438D7" w:rsidP="002438D7">
      <w:pPr>
        <w:pStyle w:val="Heading6"/>
      </w:pPr>
      <w:r>
        <w:t>Existing conditions</w:t>
      </w:r>
    </w:p>
    <w:p w14:paraId="3D25061B" w14:textId="77777777" w:rsidR="002438D7" w:rsidRPr="004E5CEB" w:rsidRDefault="002438D7" w:rsidP="002438D7">
      <w:pPr>
        <w:pStyle w:val="BodyText"/>
      </w:pPr>
      <w:r w:rsidRPr="004E5CEB">
        <w:t>Potential social changes brought about by the Project can include changes to visual amenity and character</w:t>
      </w:r>
      <w:r>
        <w:t>, changes to the social cohesion of communities</w:t>
      </w:r>
      <w:r w:rsidRPr="004E5CEB">
        <w:t xml:space="preserve">, and </w:t>
      </w:r>
      <w:r>
        <w:t xml:space="preserve">changes to </w:t>
      </w:r>
      <w:r w:rsidRPr="004E5CEB">
        <w:t>access and connectivity to an area</w:t>
      </w:r>
      <w:r>
        <w:t>.</w:t>
      </w:r>
    </w:p>
    <w:p w14:paraId="506817D8" w14:textId="77777777" w:rsidR="002438D7" w:rsidRPr="004A6365" w:rsidRDefault="002438D7" w:rsidP="002438D7">
      <w:pPr>
        <w:pStyle w:val="BodyText"/>
      </w:pPr>
      <w:r w:rsidRPr="004A6365">
        <w:t xml:space="preserve">The Project intersects 137 parcels of land through </w:t>
      </w:r>
      <w:r w:rsidRPr="004A6365">
        <w:rPr>
          <w:rStyle w:val="Removedirectformatting"/>
        </w:rPr>
        <w:t xml:space="preserve">four local government areas </w:t>
      </w:r>
      <w:r>
        <w:rPr>
          <w:rStyle w:val="Removedirectformatting"/>
        </w:rPr>
        <w:t>(</w:t>
      </w:r>
      <w:proofErr w:type="spellStart"/>
      <w:r>
        <w:rPr>
          <w:rStyle w:val="Removedirectformatting"/>
        </w:rPr>
        <w:t>LGA</w:t>
      </w:r>
      <w:proofErr w:type="spellEnd"/>
      <w:r>
        <w:rPr>
          <w:rStyle w:val="Removedirectformatting"/>
        </w:rPr>
        <w:t xml:space="preserve">) </w:t>
      </w:r>
      <w:r w:rsidRPr="004A6365">
        <w:t>of Melton, Hume, Mitchell, and Whittlesea, with 85 unique landowners.</w:t>
      </w:r>
      <w:r w:rsidRPr="009A4D78">
        <w:t xml:space="preserve"> Each </w:t>
      </w:r>
      <w:proofErr w:type="spellStart"/>
      <w:r w:rsidRPr="009A4D78">
        <w:t>LGA</w:t>
      </w:r>
      <w:proofErr w:type="spellEnd"/>
      <w:r w:rsidRPr="009A4D78">
        <w:t xml:space="preserve"> in the regional study area experienced population growth between 2009 and 2019 at a higher rate than those in Victoria overall. Considerable population growth is expected in the region between 2018 and 2036.</w:t>
      </w:r>
    </w:p>
    <w:p w14:paraId="446791BC" w14:textId="77777777" w:rsidR="002438D7" w:rsidRDefault="002438D7" w:rsidP="002438D7">
      <w:pPr>
        <w:pStyle w:val="BodyText"/>
      </w:pPr>
      <w:proofErr w:type="gramStart"/>
      <w:r w:rsidRPr="004A6365">
        <w:t>The majority of</w:t>
      </w:r>
      <w:proofErr w:type="gramEnd"/>
      <w:r w:rsidRPr="004A6365">
        <w:t xml:space="preserve"> parcels (75 of the 137 parcels) that the Project intersects are rural residential or agricultural parcels. These parcels vary in intensity of use and type of agricultural activity, including established cropping and grazing businesses and equestrian training or breeding.</w:t>
      </w:r>
    </w:p>
    <w:p w14:paraId="32378A86" w14:textId="77777777" w:rsidR="000B085B" w:rsidRDefault="002438D7" w:rsidP="000B085B">
      <w:pPr>
        <w:pStyle w:val="BodyText"/>
        <w:rPr>
          <w:rStyle w:val="CommentReference"/>
        </w:rPr>
      </w:pPr>
      <w:r w:rsidRPr="009A4D78">
        <w:t>The alignment intersects 19 roads, along with Hume Freeway at the northern end of the alignment and Calder Highway at the southern section of the alignment.</w:t>
      </w:r>
      <w:r w:rsidRPr="00DF3DB0">
        <w:t xml:space="preserve"> </w:t>
      </w:r>
    </w:p>
    <w:p w14:paraId="70233FE2" w14:textId="0EA38525" w:rsidR="002438D7" w:rsidRDefault="002438D7" w:rsidP="000B085B">
      <w:pPr>
        <w:pStyle w:val="Heading6"/>
      </w:pPr>
      <w:r>
        <w:t>Impact assessmen</w:t>
      </w:r>
      <w:r w:rsidR="000B085B">
        <w:t>t</w:t>
      </w:r>
    </w:p>
    <w:p w14:paraId="1356B073" w14:textId="77777777" w:rsidR="002438D7" w:rsidRPr="00540FAB" w:rsidRDefault="002438D7" w:rsidP="002438D7">
      <w:pPr>
        <w:pStyle w:val="BodyText"/>
      </w:pPr>
      <w:r>
        <w:t>T</w:t>
      </w:r>
      <w:r w:rsidRPr="00540FAB">
        <w:t xml:space="preserve">emporary changes to amenity for residents and the community and community facilities and recreation areas </w:t>
      </w:r>
      <w:proofErr w:type="gramStart"/>
      <w:r w:rsidRPr="00540FAB">
        <w:t>as a result of</w:t>
      </w:r>
      <w:proofErr w:type="gramEnd"/>
      <w:r w:rsidRPr="00540FAB">
        <w:t xml:space="preserve"> the Project’s construction activities</w:t>
      </w:r>
      <w:r>
        <w:t xml:space="preserve"> may result from dust or noise impacts</w:t>
      </w:r>
      <w:r w:rsidRPr="00540FAB">
        <w:t>. Th</w:t>
      </w:r>
      <w:r>
        <w:t>ese</w:t>
      </w:r>
      <w:r w:rsidRPr="00540FAB">
        <w:t xml:space="preserve"> changes in amenity </w:t>
      </w:r>
      <w:r>
        <w:t xml:space="preserve">have potential </w:t>
      </w:r>
      <w:r w:rsidRPr="00540FAB">
        <w:t>to result in changes to people’s day to day lives, such as the temporary reduction in use of backyards or temporary reduction in use of community facilities.</w:t>
      </w:r>
      <w:r>
        <w:t xml:space="preserve"> </w:t>
      </w:r>
      <w:r w:rsidRPr="00540FAB">
        <w:t>The time required to engage with the Project, along with changes to amenity and privacy may result in stress, anxiety, and frustration for some landholders, which may be heightened for landholders that do not wish to host the Project.</w:t>
      </w:r>
    </w:p>
    <w:p w14:paraId="7FBBDC41" w14:textId="3AD992E4" w:rsidR="002438D7" w:rsidRPr="00D16AF7" w:rsidRDefault="002438D7" w:rsidP="002438D7">
      <w:pPr>
        <w:pStyle w:val="BodyText"/>
      </w:pPr>
      <w:r>
        <w:t xml:space="preserve">There would be </w:t>
      </w:r>
      <w:r w:rsidRPr="00540FAB">
        <w:t xml:space="preserve">temporary reduction </w:t>
      </w:r>
      <w:proofErr w:type="gramStart"/>
      <w:r w:rsidRPr="00540FAB">
        <w:t>in the area of</w:t>
      </w:r>
      <w:proofErr w:type="gramEnd"/>
      <w:r w:rsidRPr="00540FAB">
        <w:t xml:space="preserve"> land available for grazing, cropping, or other productive activities </w:t>
      </w:r>
      <w:r>
        <w:t>and</w:t>
      </w:r>
      <w:r w:rsidRPr="00540FAB">
        <w:t xml:space="preserve"> potential to increase or change agricultural property management requirements</w:t>
      </w:r>
      <w:r w:rsidR="00FC0DCE">
        <w:t xml:space="preserve"> during construction</w:t>
      </w:r>
      <w:r w:rsidRPr="00540FAB">
        <w:t>.</w:t>
      </w:r>
      <w:r w:rsidRPr="00FF6BC5">
        <w:t xml:space="preserve"> </w:t>
      </w:r>
      <w:r w:rsidRPr="00D16AF7">
        <w:t xml:space="preserve">Without mitigation, the economic impact to agriculture at the construction stage is estimated at $0.2 million </w:t>
      </w:r>
      <w:r>
        <w:t xml:space="preserve">over 12 months </w:t>
      </w:r>
      <w:r w:rsidRPr="00D16AF7">
        <w:t xml:space="preserve">which is equivalent to 0.13% of the annual value of agricultural production within the regional study area. </w:t>
      </w:r>
      <w:r w:rsidRPr="00540FAB">
        <w:t>Following rehabilitation of the construction corridor, normal agricultural activities and production would be able to resume. Compensation for any productivity loss would be paid to landowners of agricultural properties</w:t>
      </w:r>
      <w:r w:rsidR="006C360D">
        <w:t>.</w:t>
      </w:r>
    </w:p>
    <w:p w14:paraId="64FD9775" w14:textId="77777777" w:rsidR="002438D7" w:rsidRDefault="002438D7" w:rsidP="00D808C5">
      <w:pPr>
        <w:pStyle w:val="BodyText"/>
        <w:ind w:right="-113"/>
      </w:pPr>
      <w:r w:rsidRPr="00540FAB">
        <w:lastRenderedPageBreak/>
        <w:t>Potential changes to accessibility during the construction period</w:t>
      </w:r>
      <w:r>
        <w:t xml:space="preserve"> could result in</w:t>
      </w:r>
      <w:r w:rsidRPr="00540FAB">
        <w:t xml:space="preserve"> disruption to agricultural and rural residential land uses and businesses.</w:t>
      </w:r>
      <w:r>
        <w:t xml:space="preserve"> </w:t>
      </w:r>
      <w:r w:rsidRPr="00D16AF7">
        <w:t>To minimise property damage and disruption due to Project construction, the construction activities would be undertaken in accordance with agreements made with the landowners and occupiers regarding the use of existing roads or tracks, the selection of new access routes and any property-specific measures to implement during construction.</w:t>
      </w:r>
    </w:p>
    <w:p w14:paraId="6FA8486E" w14:textId="43983EBC" w:rsidR="002438D7" w:rsidRPr="00D16AF7" w:rsidRDefault="002438D7" w:rsidP="002438D7">
      <w:pPr>
        <w:pStyle w:val="BodyText"/>
      </w:pPr>
      <w:r w:rsidRPr="00D16AF7">
        <w:t xml:space="preserve">Landholders will be entitled to compensation for the establishment of the easement on their property and impacts associated with construction, including any damage that occurs. APA would seek voluntary compensation agreement based on a fair valuation of land and impacts, with external advice from valuation professionals obtained. </w:t>
      </w:r>
    </w:p>
    <w:p w14:paraId="25EF9781" w14:textId="77777777" w:rsidR="002438D7" w:rsidRPr="00D16AF7" w:rsidRDefault="002438D7" w:rsidP="002438D7">
      <w:pPr>
        <w:pStyle w:val="Heading6"/>
      </w:pPr>
      <w:r>
        <w:t>Management measures</w:t>
      </w:r>
    </w:p>
    <w:p w14:paraId="7393E6EF" w14:textId="77777777" w:rsidR="002438D7" w:rsidRDefault="002438D7" w:rsidP="002438D7">
      <w:pPr>
        <w:pStyle w:val="BodyText"/>
      </w:pPr>
      <w:r>
        <w:t>A CEMP</w:t>
      </w:r>
      <w:r w:rsidRPr="008A6B27">
        <w:t>, Project Consultation Plan, and Traffic Management Plan</w:t>
      </w:r>
      <w:r>
        <w:t>, amongst other measures will be utilised to minimise social impacts. Measures will include:</w:t>
      </w:r>
    </w:p>
    <w:p w14:paraId="0C0F4C13" w14:textId="77777777" w:rsidR="002438D7" w:rsidRDefault="002438D7" w:rsidP="002438D7">
      <w:pPr>
        <w:pStyle w:val="BodyBullet1"/>
      </w:pPr>
      <w:r>
        <w:t xml:space="preserve">Third party infrastructure including farm infrastructure identified and marked on the ground. Reinstatement of all fences, </w:t>
      </w:r>
      <w:proofErr w:type="gramStart"/>
      <w:r>
        <w:t>gates</w:t>
      </w:r>
      <w:proofErr w:type="gramEnd"/>
      <w:r>
        <w:t xml:space="preserve"> and tracks</w:t>
      </w:r>
    </w:p>
    <w:p w14:paraId="41E62216" w14:textId="5DE32A40" w:rsidR="002438D7" w:rsidRDefault="002438D7" w:rsidP="002438D7">
      <w:pPr>
        <w:pStyle w:val="BodyBullet1"/>
      </w:pPr>
      <w:r>
        <w:t>Biosecurity management measures</w:t>
      </w:r>
      <w:r w:rsidRPr="006B7906">
        <w:t xml:space="preserve"> </w:t>
      </w:r>
      <w:r>
        <w:t>and avoiding impacts to landholder national vendor</w:t>
      </w:r>
      <w:r w:rsidR="00D808C5">
        <w:t> </w:t>
      </w:r>
      <w:r>
        <w:t>declarations</w:t>
      </w:r>
    </w:p>
    <w:p w14:paraId="34B66DC6" w14:textId="77777777" w:rsidR="002438D7" w:rsidRDefault="002438D7" w:rsidP="002438D7">
      <w:pPr>
        <w:pStyle w:val="BodyBullet1"/>
      </w:pPr>
      <w:r>
        <w:t>Reinstatement of land as soon as possible to original contours including appropriate compaction and soil amelioration</w:t>
      </w:r>
    </w:p>
    <w:p w14:paraId="559E1F38" w14:textId="77777777" w:rsidR="002438D7" w:rsidRPr="006B486F" w:rsidRDefault="002438D7" w:rsidP="002438D7">
      <w:pPr>
        <w:pStyle w:val="BodyBullet1"/>
      </w:pPr>
      <w:r>
        <w:t xml:space="preserve">Actions to minimise </w:t>
      </w:r>
      <w:r w:rsidRPr="006B486F">
        <w:t>noise, vibration, air quality, and landscape and visual amenity impacts to residents directly adjacent to the alignment, community facilities and recreation areas.</w:t>
      </w:r>
      <w:r>
        <w:t xml:space="preserve"> </w:t>
      </w:r>
    </w:p>
    <w:p w14:paraId="2E3F19B2" w14:textId="633F4E37" w:rsidR="000B085B" w:rsidRDefault="002438D7" w:rsidP="0093207D">
      <w:pPr>
        <w:pStyle w:val="BodyText"/>
      </w:pPr>
      <w:r w:rsidRPr="00F176B7">
        <w:t xml:space="preserve">Community and residential access and connectivity impacts will be minimised by utilising construction methods such as HDD at road crossings. Further, access impacts will be managed via the implementation an approved </w:t>
      </w:r>
      <w:proofErr w:type="spellStart"/>
      <w:r w:rsidRPr="00F176B7">
        <w:t>TMP</w:t>
      </w:r>
      <w:proofErr w:type="spellEnd"/>
      <w:r w:rsidRPr="00F176B7">
        <w:t xml:space="preserve"> and undertaking stakeholder communications in accordance with the Project Consultation Plan.</w:t>
      </w:r>
    </w:p>
    <w:p w14:paraId="0EA88FFD" w14:textId="2A6846D2" w:rsidR="00BC0D45" w:rsidRDefault="00BC0D45" w:rsidP="0093207D">
      <w:pPr>
        <w:pStyle w:val="BodyText"/>
      </w:pPr>
      <w:r>
        <w:t>Impacts to Precinct Structure Plans (PSPs) and growth areas would be mitigated by protecting the pipeline with an easement and identifying the</w:t>
      </w:r>
      <w:r w:rsidRPr="00A62C16">
        <w:t xml:space="preserve"> easement </w:t>
      </w:r>
      <w:r>
        <w:t>in</w:t>
      </w:r>
      <w:r w:rsidRPr="00A62C16">
        <w:t xml:space="preserve"> PSPs along the </w:t>
      </w:r>
      <w:r>
        <w:t xml:space="preserve">Project. </w:t>
      </w:r>
      <w:r w:rsidRPr="007A379C">
        <w:t xml:space="preserve">In locations </w:t>
      </w:r>
      <w:r>
        <w:t>with existing</w:t>
      </w:r>
      <w:r w:rsidRPr="007A379C">
        <w:t xml:space="preserve"> PSPs, the pipeline is designed in accordance with AS</w:t>
      </w:r>
      <w:r>
        <w:t>/NZS</w:t>
      </w:r>
      <w:r w:rsidRPr="007A379C">
        <w:t xml:space="preserve"> 2885 with consideration to </w:t>
      </w:r>
      <w:r>
        <w:t>planned PSP</w:t>
      </w:r>
      <w:r w:rsidRPr="007A379C">
        <w:t xml:space="preserve"> land</w:t>
      </w:r>
      <w:r>
        <w:t xml:space="preserve"> </w:t>
      </w:r>
      <w:r w:rsidRPr="007A379C">
        <w:t>use</w:t>
      </w:r>
      <w:r>
        <w:t xml:space="preserve">. </w:t>
      </w:r>
      <w:r w:rsidRPr="007E736D">
        <w:t xml:space="preserve">There would be an ongoing requirement that future sensitive land uses would be managed within proximity of the pipeline with the </w:t>
      </w:r>
      <w:r>
        <w:t>'</w:t>
      </w:r>
      <w:r w:rsidRPr="007E736D">
        <w:t>Area of Consequence</w:t>
      </w:r>
      <w:r>
        <w:t>'</w:t>
      </w:r>
      <w:r w:rsidRPr="007E736D">
        <w:t xml:space="preserve"> length (65</w:t>
      </w:r>
      <w:r>
        <w:t xml:space="preserve"> </w:t>
      </w:r>
      <w:r w:rsidRPr="007E736D">
        <w:t>m</w:t>
      </w:r>
      <w:r>
        <w:t>etres</w:t>
      </w:r>
      <w:r w:rsidRPr="007E736D">
        <w:t>) identified in future PSPs</w:t>
      </w:r>
      <w:r>
        <w:t>,</w:t>
      </w:r>
      <w:r w:rsidRPr="007E736D">
        <w:t xml:space="preserve"> as the area wh</w:t>
      </w:r>
      <w:r>
        <w:t>e</w:t>
      </w:r>
      <w:r w:rsidRPr="007E736D">
        <w:t xml:space="preserve">re a risk assessment of sensitive uses would be undertaken. Notification provisions in planning schemes would enable APA to assess any potential implications for sensitive uses in the </w:t>
      </w:r>
      <w:r>
        <w:t>'</w:t>
      </w:r>
      <w:r w:rsidRPr="007E736D">
        <w:t>Area of Consequence</w:t>
      </w:r>
      <w:r>
        <w:t>'</w:t>
      </w:r>
      <w:r w:rsidRPr="007E736D">
        <w:t xml:space="preserve"> along the pipeline easement</w:t>
      </w:r>
      <w:r>
        <w:t>.</w:t>
      </w:r>
    </w:p>
    <w:p w14:paraId="47C21B80" w14:textId="77777777" w:rsidR="00BC0D45" w:rsidRDefault="00BC0D45" w:rsidP="00BC0D45">
      <w:pPr>
        <w:pStyle w:val="BodyText"/>
      </w:pPr>
      <w:r>
        <w:t xml:space="preserve">The operational </w:t>
      </w:r>
      <w:r w:rsidRPr="00764038">
        <w:t xml:space="preserve">easement </w:t>
      </w:r>
      <w:r>
        <w:t xml:space="preserve">would </w:t>
      </w:r>
      <w:r w:rsidRPr="00764038">
        <w:t>provide a</w:t>
      </w:r>
      <w:r>
        <w:t>n</w:t>
      </w:r>
      <w:r w:rsidRPr="00764038">
        <w:t xml:space="preserve"> opportunity to increase open space </w:t>
      </w:r>
      <w:r>
        <w:t xml:space="preserve">and amenity </w:t>
      </w:r>
      <w:r w:rsidRPr="00764038">
        <w:t>within new urban areas</w:t>
      </w:r>
      <w:r>
        <w:t xml:space="preserve"> to benefit the local community in line with the PSPs. </w:t>
      </w:r>
    </w:p>
    <w:p w14:paraId="7D71BD94" w14:textId="3A4DC2AB" w:rsidR="00BC0D45" w:rsidRPr="0093207D" w:rsidRDefault="00BC0D45" w:rsidP="0093207D">
      <w:pPr>
        <w:pStyle w:val="BodyText"/>
      </w:pPr>
      <w:r w:rsidRPr="00BC0D45">
        <w:rPr>
          <w:rStyle w:val="Removedirectformatting"/>
        </w:rPr>
        <w:t>The Pr</w:t>
      </w:r>
      <w:r w:rsidRPr="00CE603A">
        <w:t xml:space="preserve">oject is consistent with relevant state and local land use planning </w:t>
      </w:r>
      <w:proofErr w:type="gramStart"/>
      <w:r w:rsidRPr="00CE603A">
        <w:t>policy, and</w:t>
      </w:r>
      <w:proofErr w:type="gramEnd"/>
      <w:r w:rsidRPr="00CE603A">
        <w:t xml:space="preserve"> impacts </w:t>
      </w:r>
      <w:r>
        <w:t>on</w:t>
      </w:r>
      <w:r w:rsidRPr="00CE603A">
        <w:t xml:space="preserve"> land use during construction and operation are considered to be low with the application of the relevant </w:t>
      </w:r>
      <w:r w:rsidRPr="005C0D1B">
        <w:t>environmental management measures</w:t>
      </w:r>
      <w:r>
        <w:t xml:space="preserve"> which would minimise or avoid impacts on land use values</w:t>
      </w:r>
      <w:r w:rsidRPr="00CE603A">
        <w:t xml:space="preserve">. </w:t>
      </w:r>
    </w:p>
    <w:p w14:paraId="1EC31EB6" w14:textId="0CD56995" w:rsidR="007B46A3" w:rsidRDefault="007B46A3" w:rsidP="00205594">
      <w:pPr>
        <w:pStyle w:val="Heading4"/>
        <w:pageBreakBefore/>
      </w:pPr>
      <w:bookmarkStart w:id="98" w:name="_Toc71731137"/>
      <w:bookmarkStart w:id="99" w:name="_Toc72510158"/>
      <w:bookmarkStart w:id="100" w:name="_Toc74108858"/>
      <w:r>
        <w:lastRenderedPageBreak/>
        <w:t>Waste management</w:t>
      </w:r>
      <w:bookmarkEnd w:id="98"/>
      <w:bookmarkEnd w:id="99"/>
      <w:bookmarkEnd w:id="100"/>
    </w:p>
    <w:p w14:paraId="2D3F7B16" w14:textId="467DFC41" w:rsidR="00704314" w:rsidRPr="00704314" w:rsidRDefault="00734748" w:rsidP="00704314">
      <w:pPr>
        <w:pStyle w:val="BodyText"/>
        <w:rPr>
          <w:rStyle w:val="Removedirectformatting"/>
        </w:rPr>
      </w:pPr>
      <w:r w:rsidRPr="00540FAB">
        <w:t xml:space="preserve">The evaluation objective outlined in the Minister’s scoping requirements for this EES in relation to waste </w:t>
      </w:r>
      <w:r>
        <w:t>is</w:t>
      </w:r>
      <w:r>
        <w:rPr>
          <w:rStyle w:val="Removedirectformatting"/>
        </w:rPr>
        <w:t xml:space="preserve"> </w:t>
      </w:r>
      <w:r w:rsidR="00704314">
        <w:rPr>
          <w:rStyle w:val="Removedirectformatting"/>
        </w:rPr>
        <w:t>'t</w:t>
      </w:r>
      <w:r w:rsidR="00704314" w:rsidRPr="00704314">
        <w:rPr>
          <w:rStyle w:val="Removedirectformatting"/>
        </w:rPr>
        <w:t>o minimise generation of wastes from the Project during construction and operation, and to prevent adverse environmental or health effects from storing, handling, transporting and disposing of waste products</w:t>
      </w:r>
      <w:r w:rsidR="00704314">
        <w:rPr>
          <w:rStyle w:val="Removedirectformatting"/>
        </w:rPr>
        <w:t>'</w:t>
      </w:r>
      <w:r w:rsidR="00704314" w:rsidRPr="00704314">
        <w:rPr>
          <w:rStyle w:val="Removedirectformatting"/>
        </w:rPr>
        <w:t>.</w:t>
      </w:r>
    </w:p>
    <w:p w14:paraId="7761B7CB" w14:textId="77777777" w:rsidR="00704314" w:rsidRDefault="00704314" w:rsidP="00704314">
      <w:pPr>
        <w:pStyle w:val="BodyText"/>
      </w:pPr>
      <w:r>
        <w:t>This objective was considered and assessment by:</w:t>
      </w:r>
    </w:p>
    <w:p w14:paraId="541BA097" w14:textId="77777777" w:rsidR="00704314" w:rsidRPr="00302B20" w:rsidRDefault="00704314" w:rsidP="00704314">
      <w:pPr>
        <w:pStyle w:val="BodyBullet1"/>
        <w:rPr>
          <w:rStyle w:val="Italics"/>
        </w:rPr>
      </w:pPr>
      <w:r>
        <w:t xml:space="preserve">Technical report E </w:t>
      </w:r>
      <w:r w:rsidRPr="00302B20">
        <w:rPr>
          <w:rStyle w:val="Italics"/>
        </w:rPr>
        <w:t>Contamination</w:t>
      </w:r>
    </w:p>
    <w:p w14:paraId="5EFB54AA" w14:textId="60D69F4E" w:rsidR="00FC7628" w:rsidRPr="00150CF8" w:rsidRDefault="00704314" w:rsidP="00636427">
      <w:pPr>
        <w:pStyle w:val="BodyBullet1"/>
        <w:rPr>
          <w:rStyle w:val="Italics"/>
          <w:i w:val="0"/>
        </w:rPr>
      </w:pPr>
      <w:r>
        <w:t xml:space="preserve">Technical report H </w:t>
      </w:r>
      <w:r w:rsidRPr="00302B20">
        <w:rPr>
          <w:rStyle w:val="Italics"/>
        </w:rPr>
        <w:t>Greenhouse gas</w:t>
      </w:r>
      <w:r w:rsidR="00150CF8">
        <w:rPr>
          <w:rStyle w:val="Italics"/>
        </w:rPr>
        <w:t>.</w:t>
      </w:r>
    </w:p>
    <w:p w14:paraId="3FB000B1" w14:textId="77777777" w:rsidR="004E0C1C" w:rsidRPr="004E0C1C" w:rsidRDefault="004E0C1C" w:rsidP="004E0C1C">
      <w:pPr>
        <w:pStyle w:val="BodyText"/>
      </w:pPr>
      <w:bookmarkStart w:id="101" w:name="_Toc69739315"/>
      <w:r w:rsidRPr="004E0C1C">
        <w:t>In addition, the air quality assessment considered waste (air quality impacts) associated with the compressor station emissions.</w:t>
      </w:r>
    </w:p>
    <w:bookmarkEnd w:id="101"/>
    <w:p w14:paraId="6F72CF7F" w14:textId="02F8AE08" w:rsidR="00BE32CE" w:rsidRDefault="00BE32CE" w:rsidP="00BE32CE">
      <w:pPr>
        <w:pStyle w:val="Heading5"/>
      </w:pPr>
      <w:r>
        <w:t>Greenhouse gas</w:t>
      </w:r>
    </w:p>
    <w:p w14:paraId="4D7205B5" w14:textId="4017E32B" w:rsidR="00466BDB" w:rsidRDefault="00466BDB" w:rsidP="00466BDB">
      <w:pPr>
        <w:pStyle w:val="Heading6"/>
      </w:pPr>
      <w:r>
        <w:t>Existing conditions</w:t>
      </w:r>
    </w:p>
    <w:p w14:paraId="1D5A8BF7" w14:textId="112CCB64" w:rsidR="00466BDB" w:rsidRDefault="00466BDB" w:rsidP="00466BDB">
      <w:pPr>
        <w:pStyle w:val="BodyText"/>
      </w:pPr>
      <w:r>
        <w:t>V</w:t>
      </w:r>
      <w:r w:rsidRPr="00D464D3">
        <w:t xml:space="preserve">ictoria’s total net </w:t>
      </w:r>
      <w:r>
        <w:t xml:space="preserve">greenhouse gas </w:t>
      </w:r>
      <w:r w:rsidRPr="00D464D3">
        <w:t xml:space="preserve">emissions in 2018 </w:t>
      </w:r>
      <w:r>
        <w:t>was</w:t>
      </w:r>
      <w:r w:rsidRPr="00D464D3">
        <w:t xml:space="preserve"> 102.2 Mt CO</w:t>
      </w:r>
      <w:r w:rsidRPr="0022553E">
        <w:rPr>
          <w:rStyle w:val="Subscript"/>
        </w:rPr>
        <w:t>2</w:t>
      </w:r>
      <w:r w:rsidRPr="00D464D3">
        <w:t>-e, which represents a reduction of 17.5% from 2005 levels.</w:t>
      </w:r>
      <w:r>
        <w:t xml:space="preserve"> </w:t>
      </w:r>
      <w:r w:rsidRPr="00C05498">
        <w:t>Total</w:t>
      </w:r>
      <w:r>
        <w:t xml:space="preserve"> national</w:t>
      </w:r>
      <w:r w:rsidRPr="00C05498">
        <w:t xml:space="preserve"> emissions for 2018 was 537.4 Mt CO</w:t>
      </w:r>
      <w:r w:rsidRPr="00D50E2E">
        <w:rPr>
          <w:vertAlign w:val="subscript"/>
        </w:rPr>
        <w:t>2</w:t>
      </w:r>
      <w:r w:rsidRPr="00C05498">
        <w:t>-e, which represents a reduction of 12.8% from 2005 levels.</w:t>
      </w:r>
    </w:p>
    <w:p w14:paraId="7E837339" w14:textId="309BF309" w:rsidR="00BE32CE" w:rsidRDefault="00BE32CE" w:rsidP="00BE32CE">
      <w:pPr>
        <w:pStyle w:val="Heading6"/>
      </w:pPr>
      <w:r>
        <w:t>Impact assessment</w:t>
      </w:r>
    </w:p>
    <w:p w14:paraId="5F2201AB" w14:textId="77777777" w:rsidR="00BE32CE" w:rsidRPr="00CD4383" w:rsidRDefault="00BE32CE" w:rsidP="00BE32CE">
      <w:pPr>
        <w:pStyle w:val="BodyText"/>
      </w:pPr>
      <w:r w:rsidRPr="00CD4383">
        <w:t xml:space="preserve">The Project’s estimated Scope 1 and Scope 2 construction emissions are estimated to contribute the equivalent of 0.019% of Victoria’s and 0.004% of Australia’s annual greenhouse gas emissions. </w:t>
      </w:r>
      <w:r>
        <w:t xml:space="preserve">This is largely </w:t>
      </w:r>
      <w:r w:rsidRPr="008B6ACA">
        <w:t>attributed to land use changes due to removal of vegetati</w:t>
      </w:r>
      <w:r>
        <w:t xml:space="preserve">on in the construction corridor and emissions associated with fuel use. </w:t>
      </w:r>
    </w:p>
    <w:p w14:paraId="36A6D490" w14:textId="77777777" w:rsidR="00BE32CE" w:rsidRDefault="00BE32CE" w:rsidP="00BE32CE">
      <w:pPr>
        <w:pStyle w:val="BodyText"/>
      </w:pPr>
      <w:r>
        <w:t>O</w:t>
      </w:r>
      <w:r w:rsidRPr="00CD4383">
        <w:t xml:space="preserve">peration emissions are estimated to contribute the equivalent of 0.014% of Victoria’s and 0.003% of Australia’s annual greenhouse gas emissions. </w:t>
      </w:r>
      <w:r>
        <w:t xml:space="preserve">This is largely </w:t>
      </w:r>
      <w:r w:rsidRPr="000A3410">
        <w:t>attributed to fuel use at the compressor station.</w:t>
      </w:r>
      <w:r>
        <w:t xml:space="preserve"> O</w:t>
      </w:r>
      <w:r w:rsidRPr="00CD4383">
        <w:t xml:space="preserve">peration of the Project is predicted </w:t>
      </w:r>
      <w:r>
        <w:t xml:space="preserve">by </w:t>
      </w:r>
      <w:proofErr w:type="spellStart"/>
      <w:r>
        <w:t>AEMO</w:t>
      </w:r>
      <w:proofErr w:type="spellEnd"/>
      <w:r>
        <w:t xml:space="preserve"> </w:t>
      </w:r>
      <w:r w:rsidRPr="00CD4383">
        <w:t xml:space="preserve">to lead to efficiency gains in the overall Victorian gas supply network, leading to a net reduction in total greenhouse gas emissions across the VTS. The net reduction in state and national emissions would </w:t>
      </w:r>
      <w:r>
        <w:t>be</w:t>
      </w:r>
      <w:r w:rsidRPr="00CD4383">
        <w:t xml:space="preserve"> 10,110 t CO</w:t>
      </w:r>
      <w:r w:rsidRPr="0022553E">
        <w:rPr>
          <w:rStyle w:val="Subscript"/>
        </w:rPr>
        <w:t>2</w:t>
      </w:r>
      <w:r w:rsidRPr="00CD4383">
        <w:t xml:space="preserve">-e per annum, which equates to a reduction of 0.010% and 0.002% of state and national totals respectively. </w:t>
      </w:r>
    </w:p>
    <w:p w14:paraId="69C77FF3" w14:textId="2A5B7C65" w:rsidR="00BE32CE" w:rsidRDefault="00BE32CE" w:rsidP="00BE32CE">
      <w:pPr>
        <w:pStyle w:val="Heading6"/>
      </w:pPr>
      <w:r>
        <w:t>Management measures</w:t>
      </w:r>
    </w:p>
    <w:p w14:paraId="12C009A8" w14:textId="024A1668" w:rsidR="00BE32CE" w:rsidRPr="00BE32CE" w:rsidRDefault="00BE32CE" w:rsidP="00BE32CE">
      <w:pPr>
        <w:pStyle w:val="BodyText"/>
      </w:pPr>
      <w:r>
        <w:t>Application of the Project environmental management measures, including consideration and use of low embodied energy materials, fuel efficient plant and equipment, locally sourced materials, and reduction of vegetation removal along the pipeline alignment, would reduce construction emissions. During operation, implementation of the Protocol for Environmental Management (PEM): Greenhouse Gas Emissions and Energy Efficiency in Industry 2001 would include consideration of energy efficiency best practice, to reduce operation emissions.</w:t>
      </w:r>
    </w:p>
    <w:p w14:paraId="0553409E" w14:textId="7328872A" w:rsidR="00BE32CE" w:rsidRDefault="00BE32CE" w:rsidP="00BE32CE">
      <w:pPr>
        <w:pStyle w:val="Heading5"/>
      </w:pPr>
      <w:r>
        <w:lastRenderedPageBreak/>
        <w:t>Contamination</w:t>
      </w:r>
    </w:p>
    <w:p w14:paraId="74D65662" w14:textId="694840E4" w:rsidR="00BE32CE" w:rsidRDefault="00BE32CE" w:rsidP="00BE32CE">
      <w:pPr>
        <w:pStyle w:val="Heading6"/>
      </w:pPr>
      <w:r>
        <w:t>Existing conditions</w:t>
      </w:r>
    </w:p>
    <w:p w14:paraId="74713233" w14:textId="5AF36AC6" w:rsidR="009064FE" w:rsidRDefault="00BE32CE" w:rsidP="00BE32CE">
      <w:pPr>
        <w:pStyle w:val="BodyText"/>
      </w:pPr>
      <w:r>
        <w:t>T</w:t>
      </w:r>
      <w:r w:rsidRPr="00C05498">
        <w:t xml:space="preserve">he construction corridor is dominated by the Newer </w:t>
      </w:r>
      <w:proofErr w:type="spellStart"/>
      <w:r w:rsidRPr="00C05498">
        <w:t>Volcanics</w:t>
      </w:r>
      <w:proofErr w:type="spellEnd"/>
      <w:r w:rsidRPr="00C05498">
        <w:t xml:space="preserve"> basaltic flows and stony rises. Alluvium</w:t>
      </w:r>
      <w:r w:rsidR="00D808C5">
        <w:t> </w:t>
      </w:r>
      <w:r w:rsidRPr="00C05498">
        <w:t>is present around Jacksons Creek and Deep Creek with colluvium and alluvial terraces in Mickleham</w:t>
      </w:r>
      <w:r>
        <w:t>. Soil sampling has not identified a</w:t>
      </w:r>
      <w:r w:rsidRPr="0062156E">
        <w:t>cid sul</w:t>
      </w:r>
      <w:r>
        <w:t>ph</w:t>
      </w:r>
      <w:r w:rsidRPr="0062156E">
        <w:t xml:space="preserve">ate soils </w:t>
      </w:r>
      <w:r>
        <w:t xml:space="preserve">and they </w:t>
      </w:r>
      <w:r w:rsidRPr="0062156E">
        <w:t>are unlikely to be present within the construction corridor</w:t>
      </w:r>
      <w:r>
        <w:t>, however the presence of alluvium raises the possibility for acid sulphate soil to be present.</w:t>
      </w:r>
      <w:r w:rsidRPr="00E11010">
        <w:t xml:space="preserve"> </w:t>
      </w:r>
      <w:proofErr w:type="gramStart"/>
      <w:r>
        <w:t>With the exception of</w:t>
      </w:r>
      <w:proofErr w:type="gramEnd"/>
      <w:r>
        <w:t xml:space="preserve"> industrial land use, the existing land uses within the </w:t>
      </w:r>
      <w:r w:rsidR="0026402E">
        <w:t>P</w:t>
      </w:r>
      <w:r>
        <w:t>roject area are considered to have a relatively low potential for soil and groundwater contamination. T</w:t>
      </w:r>
      <w:r w:rsidRPr="00C05498">
        <w:t>here are several properties that have been identified as having industrial uses related to quarrying, landfilling and uncontrolled dumping or storage of wastes such as old car bodies</w:t>
      </w:r>
      <w:r>
        <w:t>.</w:t>
      </w:r>
      <w:r w:rsidR="009920E2">
        <w:t xml:space="preserve"> </w:t>
      </w:r>
    </w:p>
    <w:p w14:paraId="13EE6304" w14:textId="784C1C08" w:rsidR="00BE32CE" w:rsidRDefault="009920E2" w:rsidP="00BE32CE">
      <w:pPr>
        <w:pStyle w:val="BodyText"/>
      </w:pPr>
      <w:r>
        <w:t xml:space="preserve">The potential sources of contamination and their locations in relation to the Project is illustrated in </w:t>
      </w:r>
      <w:r>
        <w:fldChar w:fldCharType="begin"/>
      </w:r>
      <w:r>
        <w:instrText xml:space="preserve"> REF _Ref70330013 \h </w:instrText>
      </w:r>
      <w:r>
        <w:fldChar w:fldCharType="separate"/>
      </w:r>
      <w:r w:rsidR="007829FC">
        <w:t>Figure </w:t>
      </w:r>
      <w:r w:rsidR="007829FC">
        <w:rPr>
          <w:noProof/>
        </w:rPr>
        <w:t>18</w:t>
      </w:r>
      <w:r>
        <w:fldChar w:fldCharType="end"/>
      </w:r>
      <w:r>
        <w:t>.</w:t>
      </w:r>
    </w:p>
    <w:p w14:paraId="2D1F3C04" w14:textId="77777777" w:rsidR="009064FE" w:rsidRDefault="009064FE" w:rsidP="009064FE">
      <w:pPr>
        <w:pStyle w:val="Heading6"/>
      </w:pPr>
      <w:r>
        <w:t>Impact Assessment</w:t>
      </w:r>
    </w:p>
    <w:p w14:paraId="224E3807" w14:textId="5F804235" w:rsidR="009064FE" w:rsidRDefault="009064FE" w:rsidP="009064FE">
      <w:pPr>
        <w:pStyle w:val="BodyText"/>
      </w:pPr>
      <w:r>
        <w:t>While there is generally low risk of contaminated soil, indicating that shallow soils are likely suitable for reuse at the site of origin in areas not identified as potential sources of contamination, m</w:t>
      </w:r>
      <w:r w:rsidRPr="00E4108F">
        <w:t>aterial directly within and under the creek beds</w:t>
      </w:r>
      <w:r>
        <w:t xml:space="preserve"> (below the water table)</w:t>
      </w:r>
      <w:r w:rsidRPr="00E4108F">
        <w:t xml:space="preserve"> ha</w:t>
      </w:r>
      <w:r>
        <w:t>s</w:t>
      </w:r>
      <w:r w:rsidRPr="00E4108F">
        <w:t xml:space="preserve"> not been directly assessed. </w:t>
      </w:r>
      <w:r>
        <w:t>A</w:t>
      </w:r>
      <w:r w:rsidRPr="00E4108F">
        <w:t>dditional</w:t>
      </w:r>
      <w:r w:rsidR="00E905E6">
        <w:t> </w:t>
      </w:r>
      <w:r w:rsidRPr="00E4108F">
        <w:t xml:space="preserve">sampling by the Contractor </w:t>
      </w:r>
      <w:r w:rsidRPr="00E61210">
        <w:t>at Jacksons Creek and Merri Creek</w:t>
      </w:r>
      <w:r w:rsidRPr="00E4108F">
        <w:t xml:space="preserve"> before construction, </w:t>
      </w:r>
      <w:r>
        <w:t xml:space="preserve">would </w:t>
      </w:r>
      <w:r w:rsidRPr="00E4108F">
        <w:t>inform spoil management planning</w:t>
      </w:r>
      <w:r>
        <w:t xml:space="preserve"> at these specific locations</w:t>
      </w:r>
      <w:r w:rsidRPr="00E4108F">
        <w:t>.</w:t>
      </w:r>
      <w:r w:rsidRPr="0062156E">
        <w:t xml:space="preserve"> </w:t>
      </w:r>
      <w:r>
        <w:t>I</w:t>
      </w:r>
      <w:r w:rsidRPr="0062156E">
        <w:t xml:space="preserve">t is not anticipated that an EPA approved acid </w:t>
      </w:r>
      <w:proofErr w:type="spellStart"/>
      <w:r w:rsidRPr="0062156E">
        <w:t>sul</w:t>
      </w:r>
      <w:r>
        <w:t>f</w:t>
      </w:r>
      <w:r w:rsidRPr="0062156E">
        <w:t>ate</w:t>
      </w:r>
      <w:proofErr w:type="spellEnd"/>
      <w:r w:rsidRPr="0062156E">
        <w:t xml:space="preserve"> soil management plan would be required</w:t>
      </w:r>
      <w:r>
        <w:t>.</w:t>
      </w:r>
    </w:p>
    <w:p w14:paraId="6ED76E1D" w14:textId="77777777" w:rsidR="009064FE" w:rsidRDefault="009064FE" w:rsidP="009064FE">
      <w:pPr>
        <w:pStyle w:val="BodyText"/>
      </w:pPr>
      <w:r w:rsidRPr="00C05498">
        <w:t xml:space="preserve">The potential for contaminated groundwater to be intercepted across the construction corridor, </w:t>
      </w:r>
      <w:proofErr w:type="gramStart"/>
      <w:r w:rsidRPr="00C05498">
        <w:t>is considered to be</w:t>
      </w:r>
      <w:proofErr w:type="gramEnd"/>
      <w:r w:rsidRPr="00C05498">
        <w:t xml:space="preserve"> low. This is because the majority of identified potential sources of contaminated soil are located where groundwater is expected to be greater than 5 metres below ground level.</w:t>
      </w:r>
    </w:p>
    <w:p w14:paraId="59A83749" w14:textId="77777777" w:rsidR="009064FE" w:rsidRDefault="009064FE" w:rsidP="009064FE">
      <w:pPr>
        <w:pStyle w:val="BodyText"/>
      </w:pPr>
      <w:r>
        <w:rPr>
          <w:rStyle w:val="Removedirectformatting"/>
        </w:rPr>
        <w:t xml:space="preserve">Waste streams considered for the Project construction include commercial and industrial waste (such as pipelining wastes, </w:t>
      </w:r>
      <w:proofErr w:type="gramStart"/>
      <w:r>
        <w:rPr>
          <w:rStyle w:val="Removedirectformatting"/>
        </w:rPr>
        <w:t>timber</w:t>
      </w:r>
      <w:proofErr w:type="gramEnd"/>
      <w:r>
        <w:rPr>
          <w:rStyle w:val="Removedirectformatting"/>
        </w:rPr>
        <w:t xml:space="preserve"> and steel), construction waste (such as spoil and rock), and domestic waste (such as putrescible and general waste, plastic, paper and cardboard packing). </w:t>
      </w:r>
    </w:p>
    <w:p w14:paraId="7F5E84FD" w14:textId="77777777" w:rsidR="009064FE" w:rsidRDefault="009064FE" w:rsidP="009064FE">
      <w:pPr>
        <w:pStyle w:val="Heading6"/>
      </w:pPr>
      <w:r>
        <w:t>Management measures</w:t>
      </w:r>
    </w:p>
    <w:p w14:paraId="460CDF48" w14:textId="152B3A65" w:rsidR="009064FE" w:rsidRDefault="009064FE" w:rsidP="009064FE">
      <w:pPr>
        <w:pStyle w:val="BodyText"/>
      </w:pPr>
      <w:r>
        <w:t xml:space="preserve">Construction wastes, including contaminated </w:t>
      </w:r>
      <w:proofErr w:type="spellStart"/>
      <w:r>
        <w:t>spoil</w:t>
      </w:r>
      <w:proofErr w:type="spellEnd"/>
      <w:r>
        <w:t>, would be managed</w:t>
      </w:r>
      <w:r w:rsidRPr="00773EA5">
        <w:t xml:space="preserve"> in accordance with </w:t>
      </w:r>
      <w:r>
        <w:t xml:space="preserve">the waste hierarchy and </w:t>
      </w:r>
      <w:r w:rsidRPr="00773EA5">
        <w:t xml:space="preserve">the EPA </w:t>
      </w:r>
      <w:r>
        <w:t>Industrial Waste Resource Guidelines. D</w:t>
      </w:r>
      <w:r w:rsidRPr="00466C82">
        <w:t xml:space="preserve">esignated facilities </w:t>
      </w:r>
      <w:r>
        <w:t xml:space="preserve">would be used </w:t>
      </w:r>
      <w:r w:rsidRPr="00466C82">
        <w:t>to handle the identified waste streams including necessary segregation and storage requirements</w:t>
      </w:r>
      <w:r>
        <w:t>. Waste</w:t>
      </w:r>
      <w:r w:rsidR="00D808C5">
        <w:t> </w:t>
      </w:r>
      <w:r>
        <w:t xml:space="preserve">facilities would be located </w:t>
      </w:r>
      <w:r w:rsidRPr="00466C82">
        <w:t>away from natural drainage systems and low-lying areas</w:t>
      </w:r>
      <w:r>
        <w:t>. Prescribed</w:t>
      </w:r>
      <w:r w:rsidR="00D808C5">
        <w:t> </w:t>
      </w:r>
      <w:r>
        <w:t xml:space="preserve">industrial waste </w:t>
      </w:r>
      <w:r w:rsidRPr="00466C82">
        <w:t xml:space="preserve">(such as waste oils, oily water mixtures, oily </w:t>
      </w:r>
      <w:proofErr w:type="gramStart"/>
      <w:r w:rsidRPr="00466C82">
        <w:t>rags</w:t>
      </w:r>
      <w:proofErr w:type="gramEnd"/>
      <w:r w:rsidRPr="00466C82">
        <w:t xml:space="preserve"> and oil filters, etc) </w:t>
      </w:r>
      <w:r>
        <w:t>would</w:t>
      </w:r>
      <w:r w:rsidR="00D808C5">
        <w:t> </w:t>
      </w:r>
      <w:r>
        <w:t>be</w:t>
      </w:r>
      <w:r w:rsidRPr="00466C82">
        <w:t xml:space="preserve"> segregated, labelled and securely stored and transported to a facility licensed to accept these wastes</w:t>
      </w:r>
      <w:r>
        <w:t>.</w:t>
      </w:r>
      <w:r w:rsidRPr="00C06A6D">
        <w:t xml:space="preserve"> </w:t>
      </w:r>
    </w:p>
    <w:p w14:paraId="6820CF80" w14:textId="3FE4C2AB" w:rsidR="009064FE" w:rsidRDefault="009064FE" w:rsidP="009064FE">
      <w:pPr>
        <w:pStyle w:val="BodyText"/>
      </w:pPr>
      <w:r>
        <w:t xml:space="preserve">During construction, environmental management measures include requirements for classifying spoil and managing existing contamination, HDD fluids, uncontaminated spoil, unknown contamination, chemicals, fuels and hazardous materials, waste streams and hydrostatic test water. Furthermore, the Project includes requirements for minimising potential impacts and risks from disturbance of acid </w:t>
      </w:r>
      <w:proofErr w:type="spellStart"/>
      <w:r>
        <w:t>sulfate</w:t>
      </w:r>
      <w:proofErr w:type="spellEnd"/>
      <w:r>
        <w:t xml:space="preserve"> soil, contaminated groundwater, and vapour and ground gas intrusion. </w:t>
      </w:r>
    </w:p>
    <w:p w14:paraId="65F94118" w14:textId="23424AB9" w:rsidR="009064FE" w:rsidRDefault="009064FE" w:rsidP="00BE32CE">
      <w:pPr>
        <w:pStyle w:val="BodyText"/>
      </w:pPr>
      <w:r>
        <w:lastRenderedPageBreak/>
        <w:t xml:space="preserve">During operation and maintenance activities, waste and contamination impacts associated with leaks and spills would be managed in accordance with the existing VTS </w:t>
      </w:r>
      <w:proofErr w:type="spellStart"/>
      <w:r>
        <w:t>OEMP</w:t>
      </w:r>
      <w:proofErr w:type="spellEnd"/>
      <w:r>
        <w:t>. With management measures, residual waste impacts would be low.</w:t>
      </w:r>
    </w:p>
    <w:p w14:paraId="251FA01E" w14:textId="6F1D3C82" w:rsidR="009920E2" w:rsidRDefault="009920E2" w:rsidP="009920E2">
      <w:pPr>
        <w:pStyle w:val="Caption"/>
      </w:pPr>
      <w:bookmarkStart w:id="102" w:name="_Ref70330013"/>
      <w:r>
        <w:t>Figure</w:t>
      </w:r>
      <w:r w:rsidR="00FB03F8">
        <w:t> </w:t>
      </w:r>
      <w:r w:rsidR="00113B39">
        <w:fldChar w:fldCharType="begin"/>
      </w:r>
      <w:r w:rsidR="00113B39">
        <w:instrText xml:space="preserve"> SEQ Figure \* ARABIC </w:instrText>
      </w:r>
      <w:r w:rsidR="00113B39">
        <w:fldChar w:fldCharType="separate"/>
      </w:r>
      <w:r w:rsidR="007829FC">
        <w:rPr>
          <w:noProof/>
        </w:rPr>
        <w:t>18</w:t>
      </w:r>
      <w:r w:rsidR="00113B39">
        <w:rPr>
          <w:noProof/>
        </w:rPr>
        <w:fldChar w:fldCharType="end"/>
      </w:r>
      <w:bookmarkEnd w:id="102"/>
      <w:r>
        <w:tab/>
        <w:t>Potential sources of contamination</w:t>
      </w:r>
    </w:p>
    <w:p w14:paraId="2938A71B" w14:textId="09220E5B" w:rsidR="009920E2" w:rsidRPr="00BE32CE" w:rsidRDefault="009920E2" w:rsidP="00FB03F8">
      <w:pPr>
        <w:pStyle w:val="Object"/>
      </w:pPr>
      <w:r w:rsidRPr="009920E2">
        <w:rPr>
          <w:noProof/>
        </w:rPr>
        <w:drawing>
          <wp:inline distT="0" distB="0" distL="0" distR="0" wp14:anchorId="7A8D6D95" wp14:editId="4C26B22A">
            <wp:extent cx="5759450" cy="5584825"/>
            <wp:effectExtent l="0" t="0" r="0" b="0"/>
            <wp:docPr id="27" name="Picture 27" descr="A map is presented which shows the potential sources of contamination surrounding the pipeline alignment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map is presented which shows the potential sources of contamination surrounding the pipeline alignment as described in the text abov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5584825"/>
                    </a:xfrm>
                    <a:prstGeom prst="rect">
                      <a:avLst/>
                    </a:prstGeom>
                  </pic:spPr>
                </pic:pic>
              </a:graphicData>
            </a:graphic>
          </wp:inline>
        </w:drawing>
      </w:r>
    </w:p>
    <w:p w14:paraId="029C84C7" w14:textId="26E1B214" w:rsidR="000B085B" w:rsidRPr="00D808C5" w:rsidRDefault="000B085B" w:rsidP="00D808C5">
      <w:pPr>
        <w:pStyle w:val="Source"/>
      </w:pPr>
      <w:r w:rsidRPr="00D808C5">
        <w:br w:type="page"/>
      </w:r>
    </w:p>
    <w:p w14:paraId="7B2A02EA" w14:textId="5FDECCC6" w:rsidR="00712AC5" w:rsidRDefault="00712AC5" w:rsidP="00712AC5">
      <w:pPr>
        <w:pStyle w:val="Heading3"/>
      </w:pPr>
      <w:bookmarkStart w:id="103" w:name="_Toc71731138"/>
      <w:bookmarkStart w:id="104" w:name="_Toc72495998"/>
      <w:bookmarkStart w:id="105" w:name="_Toc72510159"/>
      <w:bookmarkStart w:id="106" w:name="_Toc74108859"/>
      <w:r>
        <w:lastRenderedPageBreak/>
        <w:t>Managing the Project's impacts</w:t>
      </w:r>
      <w:bookmarkEnd w:id="103"/>
      <w:bookmarkEnd w:id="104"/>
      <w:bookmarkEnd w:id="105"/>
      <w:bookmarkEnd w:id="106"/>
    </w:p>
    <w:p w14:paraId="24E1717A" w14:textId="4C2602E5" w:rsidR="007B46A3" w:rsidRPr="007B46A3" w:rsidRDefault="007B46A3" w:rsidP="007B46A3">
      <w:pPr>
        <w:pStyle w:val="BodyText"/>
      </w:pPr>
      <w:r w:rsidRPr="007B46A3">
        <w:t xml:space="preserve">Chapter 19 </w:t>
      </w:r>
      <w:r w:rsidRPr="007B46A3">
        <w:rPr>
          <w:rStyle w:val="Italics"/>
        </w:rPr>
        <w:t>Environmental Management Framework</w:t>
      </w:r>
      <w:r w:rsidRPr="007B46A3">
        <w:t xml:space="preserve"> presents the proposed environmental management arrangements for </w:t>
      </w:r>
      <w:r>
        <w:t>P</w:t>
      </w:r>
      <w:r w:rsidRPr="007B46A3">
        <w:t>roject delivery. It sets out the statutory approvals and agreements that underpin the environmental management plans and measures required to manage the environmental effects identified in the EES. It also sets out the Environmental Management System to be adopted, environmental monitoring requirements, an overview of environmental management plans and environmental management measures (</w:t>
      </w:r>
      <w:proofErr w:type="spellStart"/>
      <w:r w:rsidRPr="007B46A3">
        <w:t>EMMs</w:t>
      </w:r>
      <w:proofErr w:type="spellEnd"/>
      <w:r w:rsidRPr="007B46A3">
        <w:t>), and the proposed approach to evaluating and reporting environmental outcomes and performance.</w:t>
      </w:r>
    </w:p>
    <w:p w14:paraId="77CB1ADA" w14:textId="77777777" w:rsidR="007B46A3" w:rsidRPr="007B46A3" w:rsidRDefault="007B46A3" w:rsidP="007B46A3">
      <w:pPr>
        <w:pStyle w:val="BodyText"/>
      </w:pPr>
      <w:r w:rsidRPr="007B46A3">
        <w:t xml:space="preserve">The environmental management arrangements, including the </w:t>
      </w:r>
      <w:proofErr w:type="spellStart"/>
      <w:r w:rsidRPr="007B46A3">
        <w:t>EMMs</w:t>
      </w:r>
      <w:proofErr w:type="spellEnd"/>
      <w:r w:rsidRPr="007B46A3">
        <w:t xml:space="preserve"> have been informed by relevant legislation, policy, guidelines, specialist technical reports completed as part of the EES as well as APA systems and processes. </w:t>
      </w:r>
      <w:proofErr w:type="gramStart"/>
      <w:r w:rsidRPr="007B46A3">
        <w:t>In particular, under</w:t>
      </w:r>
      <w:proofErr w:type="gramEnd"/>
      <w:r w:rsidRPr="007B46A3">
        <w:t xml:space="preserve"> Section 133(1) of the Pipelines Act, APA is required to develop an environmental management plan for the Project for approval by the Minister for Energy, Environment and Climate Change. </w:t>
      </w:r>
    </w:p>
    <w:p w14:paraId="45D20C9D" w14:textId="77777777" w:rsidR="007B46A3" w:rsidRPr="007B46A3" w:rsidRDefault="007B46A3" w:rsidP="007B46A3">
      <w:pPr>
        <w:pStyle w:val="BodyText"/>
      </w:pPr>
      <w:r w:rsidRPr="007B46A3">
        <w:t xml:space="preserve">APA would develop, </w:t>
      </w:r>
      <w:proofErr w:type="gramStart"/>
      <w:r w:rsidRPr="007B46A3">
        <w:t>implement</w:t>
      </w:r>
      <w:proofErr w:type="gramEnd"/>
      <w:r w:rsidRPr="007B46A3">
        <w:t xml:space="preserve"> and maintain environmental management plans for both the construction and operation of the Project. These would address the requirements of the statutory approvals and consents and contain processes, </w:t>
      </w:r>
      <w:proofErr w:type="gramStart"/>
      <w:r w:rsidRPr="007B46A3">
        <w:t>procedures</w:t>
      </w:r>
      <w:proofErr w:type="gramEnd"/>
      <w:r w:rsidRPr="007B46A3">
        <w:t xml:space="preserve"> and requirements to protect environmental and social values potentially impacted by the Project. </w:t>
      </w:r>
    </w:p>
    <w:p w14:paraId="0162A824" w14:textId="263AC0C6" w:rsidR="00712AC5" w:rsidRPr="00712AC5" w:rsidRDefault="007B46A3" w:rsidP="007B46A3">
      <w:pPr>
        <w:pStyle w:val="BodyText"/>
      </w:pPr>
      <w:r w:rsidRPr="007B46A3">
        <w:t>A draft Construction Environmental Management Plan (CEMP) has been prepared and is included with the Pipeline Licence Application documents exhibited with the EES. This draft CEMP would be updated following the EES process and submitted to the Minister for Energy, Environment and Climate Change for approval. The existing VTS Operation Environmental Management Plan would apply to the operational phase of the Project.</w:t>
      </w:r>
    </w:p>
    <w:p w14:paraId="28E489BF" w14:textId="00CC1BAE" w:rsidR="00712AC5" w:rsidRDefault="00712AC5" w:rsidP="00712AC5">
      <w:pPr>
        <w:pStyle w:val="Heading3"/>
      </w:pPr>
      <w:bookmarkStart w:id="107" w:name="_Toc71731139"/>
      <w:bookmarkStart w:id="108" w:name="_Toc72495999"/>
      <w:bookmarkStart w:id="109" w:name="_Toc72510160"/>
      <w:bookmarkStart w:id="110" w:name="_Toc74108860"/>
      <w:r>
        <w:t>Consulting with the community</w:t>
      </w:r>
      <w:bookmarkEnd w:id="107"/>
      <w:bookmarkEnd w:id="108"/>
      <w:bookmarkEnd w:id="109"/>
      <w:bookmarkEnd w:id="110"/>
    </w:p>
    <w:p w14:paraId="2B759457" w14:textId="304647D0" w:rsidR="00CD788A" w:rsidRDefault="00CD788A" w:rsidP="00CD788A">
      <w:pPr>
        <w:pStyle w:val="BodyText"/>
      </w:pPr>
      <w:r w:rsidRPr="00E65F64">
        <w:t xml:space="preserve">The EES process requires </w:t>
      </w:r>
      <w:proofErr w:type="gramStart"/>
      <w:r w:rsidRPr="00E65F64">
        <w:t>consultation</w:t>
      </w:r>
      <w:proofErr w:type="gramEnd"/>
      <w:r w:rsidRPr="00E65F64">
        <w:t xml:space="preserve"> and a publicly available consultation plan has been prepared to guide </w:t>
      </w:r>
      <w:r>
        <w:t>APA’s consultation specific to the EES</w:t>
      </w:r>
      <w:r w:rsidRPr="00E65F64">
        <w:t xml:space="preserve">. A range of approaches have been adopted </w:t>
      </w:r>
      <w:r>
        <w:t>for</w:t>
      </w:r>
      <w:r w:rsidRPr="00E65F64">
        <w:t xml:space="preserve"> engagement, many of which were held virtually or remotely due to COVID restrictions.</w:t>
      </w:r>
      <w:r>
        <w:t xml:space="preserve"> Consultation underpins the </w:t>
      </w:r>
      <w:r w:rsidRPr="00540FAB">
        <w:t>Pipelines Act</w:t>
      </w:r>
      <w:r>
        <w:t xml:space="preserve">. </w:t>
      </w:r>
      <w:r w:rsidRPr="00CE4A92">
        <w:t xml:space="preserve">A </w:t>
      </w:r>
      <w:r>
        <w:t xml:space="preserve">separate </w:t>
      </w:r>
      <w:r w:rsidR="00F41683">
        <w:t xml:space="preserve">Pipelines Act </w:t>
      </w:r>
      <w:r w:rsidRPr="00CE4A92">
        <w:t xml:space="preserve">Consultation Plan was prepared </w:t>
      </w:r>
      <w:r>
        <w:t xml:space="preserve">which covers all phases of the Project. This </w:t>
      </w:r>
      <w:r w:rsidRPr="00CE4A92">
        <w:t>consultation plan</w:t>
      </w:r>
      <w:r>
        <w:t xml:space="preserve"> is provided to owners and occupiers of land and outlines information about the Project, how potential impacts are to be managed and legislative approvals required to facilitate construction and operation of the Project. </w:t>
      </w:r>
    </w:p>
    <w:p w14:paraId="76D78C43" w14:textId="03E6E410" w:rsidR="006067F7" w:rsidRDefault="006067F7" w:rsidP="006067F7">
      <w:pPr>
        <w:pStyle w:val="BodyText"/>
      </w:pPr>
      <w:r w:rsidRPr="00823F61">
        <w:t xml:space="preserve">APA is committed to </w:t>
      </w:r>
      <w:r>
        <w:t xml:space="preserve">effective consultation and </w:t>
      </w:r>
      <w:r w:rsidRPr="00823F61">
        <w:t>engagement and will continue to engage through construction and operation, should the Project be approved.</w:t>
      </w:r>
      <w:r w:rsidRPr="00540FAB">
        <w:t xml:space="preserve"> APA has maintained a list of Project landholders and other stakeholders since </w:t>
      </w:r>
      <w:r>
        <w:t>investigations began for the Project</w:t>
      </w:r>
      <w:r w:rsidRPr="00540FAB">
        <w:t xml:space="preserve"> in 2018. </w:t>
      </w:r>
    </w:p>
    <w:p w14:paraId="3F5CE23B" w14:textId="760A617E" w:rsidR="006067F7" w:rsidRDefault="006067F7" w:rsidP="006067F7">
      <w:pPr>
        <w:pStyle w:val="BodyText"/>
      </w:pPr>
      <w:r>
        <w:t>Project stages 1</w:t>
      </w:r>
      <w:r w:rsidR="00FB03F8">
        <w:t>–</w:t>
      </w:r>
      <w:r>
        <w:t xml:space="preserve">7, along with a description of the key activities informing consultation for each stage are illustrated in </w:t>
      </w:r>
      <w:r w:rsidR="00F3012A">
        <w:fldChar w:fldCharType="begin"/>
      </w:r>
      <w:r w:rsidR="00F3012A">
        <w:instrText xml:space="preserve"> REF _Ref70330155 \h </w:instrText>
      </w:r>
      <w:r w:rsidR="00F3012A">
        <w:fldChar w:fldCharType="separate"/>
      </w:r>
      <w:r w:rsidR="007829FC">
        <w:t>Figure </w:t>
      </w:r>
      <w:r w:rsidR="007829FC">
        <w:rPr>
          <w:noProof/>
        </w:rPr>
        <w:t>19</w:t>
      </w:r>
      <w:r w:rsidR="00F3012A">
        <w:fldChar w:fldCharType="end"/>
      </w:r>
      <w:r>
        <w:t xml:space="preserve">. </w:t>
      </w:r>
    </w:p>
    <w:p w14:paraId="462CE797" w14:textId="48FE8BF8" w:rsidR="006067F7" w:rsidRDefault="006067F7" w:rsidP="006067F7">
      <w:pPr>
        <w:pStyle w:val="BodyText"/>
      </w:pPr>
      <w:r>
        <w:t>The Project is currently at Stage 5 and consultation for the EES is taking place during Stage 5.</w:t>
      </w:r>
    </w:p>
    <w:p w14:paraId="67FE5E48" w14:textId="5F39EF12" w:rsidR="00F3012A" w:rsidRDefault="00F3012A" w:rsidP="00F3012A">
      <w:pPr>
        <w:pStyle w:val="Caption"/>
      </w:pPr>
      <w:bookmarkStart w:id="111" w:name="_Ref70330155"/>
      <w:r>
        <w:lastRenderedPageBreak/>
        <w:t>Figure</w:t>
      </w:r>
      <w:r w:rsidR="00FB03F8">
        <w:t> </w:t>
      </w:r>
      <w:r w:rsidR="00113B39">
        <w:fldChar w:fldCharType="begin"/>
      </w:r>
      <w:r w:rsidR="00113B39">
        <w:instrText xml:space="preserve"> SEQ Figure \* ARABIC </w:instrText>
      </w:r>
      <w:r w:rsidR="00113B39">
        <w:fldChar w:fldCharType="separate"/>
      </w:r>
      <w:r w:rsidR="007829FC">
        <w:rPr>
          <w:noProof/>
        </w:rPr>
        <w:t>19</w:t>
      </w:r>
      <w:r w:rsidR="00113B39">
        <w:rPr>
          <w:noProof/>
        </w:rPr>
        <w:fldChar w:fldCharType="end"/>
      </w:r>
      <w:bookmarkEnd w:id="111"/>
      <w:r>
        <w:tab/>
        <w:t xml:space="preserve">Summary of Project </w:t>
      </w:r>
      <w:r w:rsidR="00AE3C2D">
        <w:t>stages</w:t>
      </w:r>
      <w:r>
        <w:t xml:space="preserve"> and consultation</w:t>
      </w:r>
    </w:p>
    <w:p w14:paraId="0419F549" w14:textId="048913E8" w:rsidR="00F3012A" w:rsidRDefault="00F3012A" w:rsidP="00FB03F8">
      <w:pPr>
        <w:pStyle w:val="Object"/>
      </w:pPr>
      <w:r w:rsidRPr="00F3012A">
        <w:rPr>
          <w:noProof/>
        </w:rPr>
        <w:drawing>
          <wp:inline distT="0" distB="0" distL="0" distR="0" wp14:anchorId="22E975D0" wp14:editId="2DA48013">
            <wp:extent cx="5734050" cy="7219950"/>
            <wp:effectExtent l="38100" t="19050" r="19050" b="38100"/>
            <wp:docPr id="28" name="Diagram 28" descr="This figure contains a diagram with an overview of the consultation stages. The phases are:&#10;1. Information gathering for route selection&#10;2. Initial stakeholder engagement&#10;3. Obtaining land access for surveys&#10;4. Agreement on pipeline&#10;5. Seeking regulatory approvals&#10;6. Pipeline construction&#10;7. Pipeline operatio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19CD5DDC" w14:textId="77777777" w:rsidR="00FB03F8" w:rsidRPr="00FB03F8" w:rsidRDefault="00FB03F8" w:rsidP="00FB03F8">
      <w:pPr>
        <w:pStyle w:val="Source"/>
      </w:pPr>
    </w:p>
    <w:p w14:paraId="06E94FBB" w14:textId="77777777" w:rsidR="006067F7" w:rsidRDefault="006067F7" w:rsidP="00D808C5">
      <w:pPr>
        <w:pStyle w:val="BodyText"/>
        <w:pageBreakBefore/>
      </w:pPr>
      <w:r>
        <w:lastRenderedPageBreak/>
        <w:t xml:space="preserve">During the EES preparation consultation activities included: </w:t>
      </w:r>
    </w:p>
    <w:p w14:paraId="3FA4601F" w14:textId="77777777" w:rsidR="006067F7" w:rsidRDefault="006067F7" w:rsidP="006067F7">
      <w:pPr>
        <w:pStyle w:val="BodyBullet1"/>
      </w:pPr>
      <w:r>
        <w:t>Consultation on draft EES Scoping Requirements</w:t>
      </w:r>
    </w:p>
    <w:p w14:paraId="20085F07" w14:textId="77777777" w:rsidR="006067F7" w:rsidRDefault="006067F7" w:rsidP="006067F7">
      <w:pPr>
        <w:pStyle w:val="BodyBullet1"/>
      </w:pPr>
      <w:r>
        <w:t>APA meetings with stakeholders</w:t>
      </w:r>
    </w:p>
    <w:p w14:paraId="7C325A3E" w14:textId="77777777" w:rsidR="006067F7" w:rsidRDefault="006067F7" w:rsidP="006067F7">
      <w:pPr>
        <w:pStyle w:val="BodyBullet1"/>
      </w:pPr>
      <w:r>
        <w:t>Emailed communications providing regular community updates and news</w:t>
      </w:r>
    </w:p>
    <w:p w14:paraId="32BD0066" w14:textId="77777777" w:rsidR="006067F7" w:rsidRDefault="006067F7" w:rsidP="006067F7">
      <w:pPr>
        <w:pStyle w:val="BodyBullet1"/>
      </w:pPr>
      <w:r>
        <w:t xml:space="preserve">Physical mail out of newsletters </w:t>
      </w:r>
    </w:p>
    <w:p w14:paraId="17C516E8" w14:textId="77777777" w:rsidR="006067F7" w:rsidRDefault="006067F7" w:rsidP="006067F7">
      <w:pPr>
        <w:pStyle w:val="BodyBullet1"/>
      </w:pPr>
      <w:r w:rsidRPr="009A268C">
        <w:t xml:space="preserve">The Technical Reference Group (TRG) was convened </w:t>
      </w:r>
      <w:r>
        <w:t xml:space="preserve">with government and approval agencies </w:t>
      </w:r>
      <w:r w:rsidRPr="009A268C">
        <w:t>to review the EES draft documentation and specialist technical studies</w:t>
      </w:r>
    </w:p>
    <w:p w14:paraId="7F0C918D" w14:textId="3907A4EF" w:rsidR="006067F7" w:rsidRDefault="006067F7" w:rsidP="006067F7">
      <w:pPr>
        <w:pStyle w:val="BodyBullet1"/>
      </w:pPr>
      <w:r w:rsidRPr="009A268C">
        <w:t xml:space="preserve">Virtual community information sessions </w:t>
      </w:r>
      <w:r>
        <w:t>in</w:t>
      </w:r>
      <w:r w:rsidRPr="009A268C">
        <w:t xml:space="preserve"> late 2020, with </w:t>
      </w:r>
      <w:proofErr w:type="gramStart"/>
      <w:r w:rsidRPr="009A268C">
        <w:t>face to face</w:t>
      </w:r>
      <w:proofErr w:type="gramEnd"/>
      <w:r w:rsidRPr="009A268C">
        <w:t xml:space="preserve"> information sessions in early</w:t>
      </w:r>
      <w:r w:rsidR="00D808C5">
        <w:t> </w:t>
      </w:r>
      <w:r w:rsidRPr="009A268C">
        <w:t>2021</w:t>
      </w:r>
    </w:p>
    <w:p w14:paraId="2038D52C" w14:textId="77777777" w:rsidR="006067F7" w:rsidRDefault="006067F7" w:rsidP="006067F7">
      <w:pPr>
        <w:pStyle w:val="BodyBullet1"/>
      </w:pPr>
      <w:r w:rsidRPr="009A268C">
        <w:t>Digital public engagement platform</w:t>
      </w:r>
      <w:r>
        <w:t xml:space="preserve"> (Social Pinpoint) available for community feedback, survey, updates, discussion forum and links to relevant documents </w:t>
      </w:r>
    </w:p>
    <w:p w14:paraId="3F56B1B5" w14:textId="77777777" w:rsidR="006067F7" w:rsidRDefault="006067F7" w:rsidP="006067F7">
      <w:pPr>
        <w:pStyle w:val="BodyBullet1"/>
      </w:pPr>
      <w:r>
        <w:t>Dedicated 1800 number and email address available</w:t>
      </w:r>
    </w:p>
    <w:p w14:paraId="7BEC337C" w14:textId="77777777" w:rsidR="006067F7" w:rsidRPr="006067F7" w:rsidRDefault="006067F7" w:rsidP="000D5B94">
      <w:pPr>
        <w:pStyle w:val="BodyBullet1"/>
      </w:pPr>
      <w:r>
        <w:t>Factsheets</w:t>
      </w:r>
      <w:r w:rsidRPr="006067F7">
        <w:t xml:space="preserve">, newsletters, </w:t>
      </w:r>
      <w:proofErr w:type="gramStart"/>
      <w:r w:rsidRPr="006067F7">
        <w:t>flyers</w:t>
      </w:r>
      <w:proofErr w:type="gramEnd"/>
      <w:r w:rsidRPr="006067F7">
        <w:t xml:space="preserve"> and community resource guide produced during this stage.</w:t>
      </w:r>
    </w:p>
    <w:p w14:paraId="2F8007DF" w14:textId="77777777" w:rsidR="006067F7" w:rsidRDefault="006067F7" w:rsidP="006067F7">
      <w:pPr>
        <w:pStyle w:val="BodyText"/>
      </w:pPr>
      <w:r>
        <w:t>Key issues raised during consultation include:</w:t>
      </w:r>
    </w:p>
    <w:p w14:paraId="5DBAB82C" w14:textId="20F31583" w:rsidR="006067F7" w:rsidRDefault="006067F7" w:rsidP="006067F7">
      <w:pPr>
        <w:pStyle w:val="BodyBullet1"/>
      </w:pPr>
      <w:r>
        <w:t>Pipeline alignment and impacts on existing and future land use, including farming and future</w:t>
      </w:r>
      <w:r w:rsidR="00D808C5">
        <w:t> </w:t>
      </w:r>
      <w:r>
        <w:t xml:space="preserve">residential </w:t>
      </w:r>
    </w:p>
    <w:p w14:paraId="5F3858BC" w14:textId="77777777" w:rsidR="006067F7" w:rsidRDefault="006067F7" w:rsidP="006067F7">
      <w:pPr>
        <w:pStyle w:val="BodyBullet1"/>
      </w:pPr>
      <w:r>
        <w:t>Pipeline construction impacts on waterways and habitat disruptions in areas of biodiversity value, including Platypus and Growling Grass Frog, particularly at Merri Creek and Jacksons Creek</w:t>
      </w:r>
    </w:p>
    <w:p w14:paraId="0FB0FB97" w14:textId="77777777" w:rsidR="006067F7" w:rsidRDefault="006067F7" w:rsidP="006067F7">
      <w:pPr>
        <w:pStyle w:val="BodyBullet1"/>
      </w:pPr>
      <w:r>
        <w:t>Pipeline construction impacts on trees (landscape and biodiversity values) and adjusting alignment to minimise impact</w:t>
      </w:r>
    </w:p>
    <w:p w14:paraId="13B09AC9" w14:textId="77777777" w:rsidR="006067F7" w:rsidRDefault="006067F7" w:rsidP="006067F7">
      <w:pPr>
        <w:pStyle w:val="BodyBullet1"/>
      </w:pPr>
      <w:r>
        <w:t xml:space="preserve">Avoiding spread of weeds during construction </w:t>
      </w:r>
    </w:p>
    <w:p w14:paraId="792EDD12" w14:textId="77777777" w:rsidR="006067F7" w:rsidRDefault="006067F7" w:rsidP="006067F7">
      <w:pPr>
        <w:pStyle w:val="BodyBullet1"/>
      </w:pPr>
      <w:r>
        <w:t>Access disruption at local roads and properties</w:t>
      </w:r>
    </w:p>
    <w:p w14:paraId="15E3E365" w14:textId="77777777" w:rsidR="006067F7" w:rsidRDefault="006067F7" w:rsidP="006067F7">
      <w:pPr>
        <w:pStyle w:val="BodyBullet1"/>
      </w:pPr>
      <w:r>
        <w:t>Potential for foot and bike paths on the easement</w:t>
      </w:r>
    </w:p>
    <w:p w14:paraId="629743E0" w14:textId="77777777" w:rsidR="006067F7" w:rsidRDefault="006067F7" w:rsidP="006067F7">
      <w:pPr>
        <w:pStyle w:val="BodyBullet1"/>
      </w:pPr>
      <w:r>
        <w:t xml:space="preserve">Notifications of work to </w:t>
      </w:r>
      <w:proofErr w:type="gramStart"/>
      <w:r>
        <w:t>local residents</w:t>
      </w:r>
      <w:proofErr w:type="gramEnd"/>
      <w:r>
        <w:t xml:space="preserve"> during construction and schedule of construction, particularly in reference to potential noise impacts</w:t>
      </w:r>
    </w:p>
    <w:p w14:paraId="6013CC54" w14:textId="77777777" w:rsidR="006067F7" w:rsidRDefault="006067F7" w:rsidP="006067F7">
      <w:pPr>
        <w:pStyle w:val="BodyBullet1"/>
      </w:pPr>
      <w:r>
        <w:t xml:space="preserve">Options for dust control </w:t>
      </w:r>
    </w:p>
    <w:p w14:paraId="72929831" w14:textId="77777777" w:rsidR="006067F7" w:rsidRDefault="006067F7" w:rsidP="006067F7">
      <w:pPr>
        <w:pStyle w:val="BodyBullet1"/>
      </w:pPr>
      <w:r>
        <w:t xml:space="preserve">Minimising impacts on infrastructure such as roads or underground pipes </w:t>
      </w:r>
    </w:p>
    <w:p w14:paraId="0ADE4A0D" w14:textId="2253A6A9" w:rsidR="006067F7" w:rsidRPr="006067F7" w:rsidRDefault="006067F7" w:rsidP="000D5B94">
      <w:pPr>
        <w:pStyle w:val="BodyBullet1"/>
      </w:pPr>
      <w:r>
        <w:t>Rehabilitation timing and process</w:t>
      </w:r>
      <w:r w:rsidRPr="006067F7">
        <w:t>.</w:t>
      </w:r>
    </w:p>
    <w:p w14:paraId="15EB3A88" w14:textId="32798682" w:rsidR="00712AC5" w:rsidRDefault="00712AC5" w:rsidP="00D808C5">
      <w:pPr>
        <w:pStyle w:val="Heading3"/>
        <w:pageBreakBefore/>
      </w:pPr>
      <w:bookmarkStart w:id="112" w:name="_Toc71731140"/>
      <w:bookmarkStart w:id="113" w:name="_Toc72496000"/>
      <w:bookmarkStart w:id="114" w:name="_Toc72510161"/>
      <w:bookmarkStart w:id="115" w:name="_Toc74108861"/>
      <w:r>
        <w:lastRenderedPageBreak/>
        <w:t>Concluding the EES process</w:t>
      </w:r>
      <w:bookmarkEnd w:id="112"/>
      <w:bookmarkEnd w:id="113"/>
      <w:bookmarkEnd w:id="114"/>
      <w:bookmarkEnd w:id="115"/>
    </w:p>
    <w:p w14:paraId="3424DB48" w14:textId="73BF5B26" w:rsidR="001E2C40" w:rsidRDefault="001E2C40" w:rsidP="000D5B94">
      <w:pPr>
        <w:pStyle w:val="Heading4"/>
      </w:pPr>
      <w:bookmarkStart w:id="116" w:name="_Toc71731141"/>
      <w:bookmarkStart w:id="117" w:name="_Toc72510162"/>
      <w:bookmarkStart w:id="118" w:name="_Toc74108862"/>
      <w:r>
        <w:t>Exhibition and submissions</w:t>
      </w:r>
      <w:bookmarkEnd w:id="116"/>
      <w:bookmarkEnd w:id="117"/>
      <w:bookmarkEnd w:id="118"/>
    </w:p>
    <w:p w14:paraId="6FBEAFF0" w14:textId="6E98DB75" w:rsidR="001E2C40" w:rsidRPr="00800933" w:rsidRDefault="006E6D30" w:rsidP="001E2C40">
      <w:pPr>
        <w:pStyle w:val="BodyText"/>
        <w:rPr>
          <w:rStyle w:val="Removedirectformatting"/>
        </w:rPr>
      </w:pPr>
      <w:r>
        <w:t xml:space="preserve">The EES </w:t>
      </w:r>
      <w:r w:rsidR="001E2C40">
        <w:t xml:space="preserve">and Pipeline Licence Application </w:t>
      </w:r>
      <w:r>
        <w:t xml:space="preserve">will be </w:t>
      </w:r>
      <w:r w:rsidRPr="002B00A6">
        <w:t xml:space="preserve">on public exhibition for </w:t>
      </w:r>
      <w:r w:rsidRPr="006E6D30">
        <w:rPr>
          <w:rStyle w:val="Removedirectformatting"/>
        </w:rPr>
        <w:t>30</w:t>
      </w:r>
      <w:r w:rsidRPr="002B00A6">
        <w:t xml:space="preserve"> business days</w:t>
      </w:r>
      <w:r w:rsidR="00010BCE" w:rsidRPr="00800933">
        <w:rPr>
          <w:rStyle w:val="Removedirectformatting"/>
        </w:rPr>
        <w:t xml:space="preserve"> from</w:t>
      </w:r>
      <w:r w:rsidR="00A7537F">
        <w:rPr>
          <w:rStyle w:val="Removedirectformatting"/>
        </w:rPr>
        <w:t xml:space="preserve"> </w:t>
      </w:r>
      <w:r w:rsidR="006F25F2">
        <w:rPr>
          <w:rStyle w:val="Removedirectformatting"/>
        </w:rPr>
        <w:t>7</w:t>
      </w:r>
      <w:r w:rsidR="00A7537F">
        <w:rPr>
          <w:rStyle w:val="Removedirectformatting"/>
        </w:rPr>
        <w:t xml:space="preserve"> July 2021 to 1</w:t>
      </w:r>
      <w:r w:rsidR="006F25F2">
        <w:rPr>
          <w:rStyle w:val="Removedirectformatting"/>
        </w:rPr>
        <w:t>7</w:t>
      </w:r>
      <w:r w:rsidR="00A7537F">
        <w:rPr>
          <w:rStyle w:val="Removedirectformatting"/>
        </w:rPr>
        <w:t xml:space="preserve"> August 2021</w:t>
      </w:r>
      <w:r w:rsidRPr="002B00A6">
        <w:t>.</w:t>
      </w:r>
      <w:r w:rsidRPr="00800933">
        <w:rPr>
          <w:rStyle w:val="Removedirectformatting"/>
        </w:rPr>
        <w:t xml:space="preserve"> During this time, members of the public can view the EES and make written submissions. </w:t>
      </w:r>
      <w:r w:rsidR="001E2C40" w:rsidRPr="00800933">
        <w:rPr>
          <w:rStyle w:val="Removedirectformatting"/>
        </w:rPr>
        <w:t xml:space="preserve">Copies of the EES, Pipeline Licence Application and supporting material can be downloaded from the Project website: </w:t>
      </w:r>
      <w:hyperlink r:id="rId44" w:history="1">
        <w:r w:rsidR="001E2C40" w:rsidRPr="0001769E">
          <w:rPr>
            <w:rStyle w:val="Hyperlink"/>
          </w:rPr>
          <w:t>www.apa.com.au/worm/ees</w:t>
        </w:r>
      </w:hyperlink>
      <w:r w:rsidR="00D50E2E">
        <w:t>.</w:t>
      </w:r>
    </w:p>
    <w:p w14:paraId="01708DB1" w14:textId="52C07CE7" w:rsidR="001E2C40" w:rsidRPr="0011699F" w:rsidRDefault="001E2C40" w:rsidP="001E2C40">
      <w:pPr>
        <w:pStyle w:val="BodyText"/>
      </w:pPr>
      <w:r w:rsidRPr="0011699F">
        <w:t xml:space="preserve">Free copies of the EES Summary </w:t>
      </w:r>
      <w:r w:rsidR="005B7256">
        <w:t>brochure</w:t>
      </w:r>
      <w:r w:rsidR="005B7256" w:rsidRPr="0011699F">
        <w:t xml:space="preserve"> </w:t>
      </w:r>
      <w:r w:rsidRPr="0011699F">
        <w:t>and USBs containing all the EES documentation are available at the public exhibition locations or directly from APA.</w:t>
      </w:r>
      <w:r w:rsidR="006B0607">
        <w:t xml:space="preserve"> Subject to COVID-19 restrictions, d</w:t>
      </w:r>
      <w:r w:rsidRPr="0011699F">
        <w:t xml:space="preserve">uring the public exhibition period, </w:t>
      </w:r>
      <w:r w:rsidR="00DD2249">
        <w:t xml:space="preserve">hard copies of </w:t>
      </w:r>
      <w:r w:rsidRPr="0011699F">
        <w:t xml:space="preserve">the EES </w:t>
      </w:r>
      <w:r w:rsidR="005B7256">
        <w:t>are</w:t>
      </w:r>
      <w:r w:rsidR="005B7256" w:rsidRPr="0011699F">
        <w:t xml:space="preserve"> </w:t>
      </w:r>
      <w:r w:rsidRPr="0011699F">
        <w:t xml:space="preserve">available for inspection during office hours at: </w:t>
      </w:r>
    </w:p>
    <w:p w14:paraId="55F86A62" w14:textId="2CF1774E" w:rsidR="001E2C40" w:rsidRPr="0011699F" w:rsidRDefault="001E2C40" w:rsidP="001E2C40">
      <w:pPr>
        <w:pStyle w:val="BodyBullet1"/>
      </w:pPr>
      <w:r w:rsidRPr="0011699F">
        <w:t>State Library of Victoria, 328 Swanston St</w:t>
      </w:r>
      <w:r w:rsidR="00A72854">
        <w:t>reet</w:t>
      </w:r>
      <w:r w:rsidRPr="0011699F">
        <w:t>, Melbourne VIC 3000</w:t>
      </w:r>
    </w:p>
    <w:p w14:paraId="36161C74" w14:textId="532118D5" w:rsidR="001E2C40" w:rsidRPr="0011699F" w:rsidRDefault="001E2C40" w:rsidP="001E2C40">
      <w:pPr>
        <w:pStyle w:val="BodyBullet1"/>
      </w:pPr>
      <w:r w:rsidRPr="0011699F">
        <w:t xml:space="preserve">Caroline Springs Library &amp; Learning Hub, 193-201 Caroline Springs </w:t>
      </w:r>
      <w:r w:rsidR="00A72854">
        <w:t>Boulevard</w:t>
      </w:r>
      <w:r w:rsidRPr="0011699F">
        <w:t>, Caroline Springs VIC 3023</w:t>
      </w:r>
    </w:p>
    <w:p w14:paraId="094E4DD5" w14:textId="055CF202" w:rsidR="001E2C40" w:rsidRPr="0011699F" w:rsidRDefault="001E2C40" w:rsidP="001E2C40">
      <w:pPr>
        <w:pStyle w:val="BodyBullet1"/>
      </w:pPr>
      <w:r w:rsidRPr="0011699F">
        <w:t>Craigieburn Library, 75-95 Central Park Ave</w:t>
      </w:r>
      <w:r w:rsidR="00A72854">
        <w:t>nue</w:t>
      </w:r>
      <w:r w:rsidRPr="0011699F">
        <w:t>, Craigieburn VIC 3064</w:t>
      </w:r>
    </w:p>
    <w:p w14:paraId="1C0CA6FE" w14:textId="62E0484A" w:rsidR="001E2C40" w:rsidRPr="0011699F" w:rsidRDefault="001E2C40" w:rsidP="001E2C40">
      <w:pPr>
        <w:pStyle w:val="BodyBullet1"/>
      </w:pPr>
      <w:r w:rsidRPr="0011699F">
        <w:t>Greater Beveridge Community Centre, C</w:t>
      </w:r>
      <w:r w:rsidR="00F051A7">
        <w:t>or</w:t>
      </w:r>
      <w:r w:rsidRPr="0011699F">
        <w:t>n</w:t>
      </w:r>
      <w:r w:rsidR="00F051A7">
        <w:t>e</w:t>
      </w:r>
      <w:r w:rsidRPr="0011699F">
        <w:t xml:space="preserve">r Lithgow </w:t>
      </w:r>
      <w:r w:rsidR="00A72854">
        <w:t>Street</w:t>
      </w:r>
      <w:r w:rsidRPr="0011699F">
        <w:t xml:space="preserve"> and Mandalay </w:t>
      </w:r>
      <w:r w:rsidR="00F051A7" w:rsidRPr="0011699F">
        <w:t>C</w:t>
      </w:r>
      <w:r w:rsidR="00F051A7">
        <w:t>ir</w:t>
      </w:r>
      <w:r w:rsidR="00F051A7" w:rsidRPr="0011699F">
        <w:t>c</w:t>
      </w:r>
      <w:r w:rsidR="00F051A7">
        <w:t>u</w:t>
      </w:r>
      <w:r w:rsidR="00F051A7" w:rsidRPr="0011699F">
        <w:t>it</w:t>
      </w:r>
      <w:r w:rsidRPr="0011699F">
        <w:t>, Beveridge VIC 3753</w:t>
      </w:r>
    </w:p>
    <w:p w14:paraId="2C6F241C" w14:textId="77760E35" w:rsidR="001E2C40" w:rsidRPr="0011699F" w:rsidRDefault="001E2C40" w:rsidP="001E2C40">
      <w:pPr>
        <w:pStyle w:val="BodyBullet1"/>
      </w:pPr>
      <w:r w:rsidRPr="0011699F">
        <w:t>City of Whittlesea Civic Centre Office – South</w:t>
      </w:r>
      <w:r>
        <w:t> </w:t>
      </w:r>
      <w:r w:rsidRPr="0011699F">
        <w:t xml:space="preserve">Morang, 25 </w:t>
      </w:r>
      <w:proofErr w:type="spellStart"/>
      <w:r w:rsidRPr="0011699F">
        <w:t>Ferres</w:t>
      </w:r>
      <w:proofErr w:type="spellEnd"/>
      <w:r w:rsidRPr="0011699F">
        <w:t xml:space="preserve"> </w:t>
      </w:r>
      <w:r w:rsidR="00A72854">
        <w:t>Boulevard</w:t>
      </w:r>
      <w:r w:rsidRPr="0011699F">
        <w:t>, South Morang VIC</w:t>
      </w:r>
      <w:r w:rsidR="00E94BD2">
        <w:t> </w:t>
      </w:r>
      <w:r w:rsidRPr="0011699F">
        <w:t>3752</w:t>
      </w:r>
      <w:r w:rsidR="00205594">
        <w:t>.</w:t>
      </w:r>
    </w:p>
    <w:p w14:paraId="451D2D0D" w14:textId="27358791" w:rsidR="006B0607" w:rsidRDefault="006B0607" w:rsidP="001E2C40">
      <w:pPr>
        <w:pStyle w:val="BodyText"/>
      </w:pPr>
      <w:bookmarkStart w:id="119" w:name="_Hlk70001070"/>
      <w:r w:rsidRPr="006B0607">
        <w:t xml:space="preserve">Subject to COVID-19 restrictions on Community Facilities. Please check the </w:t>
      </w:r>
      <w:proofErr w:type="spellStart"/>
      <w:r w:rsidRPr="006B0607">
        <w:t>COVIDSafe</w:t>
      </w:r>
      <w:proofErr w:type="spellEnd"/>
      <w:r w:rsidRPr="006B0607">
        <w:t xml:space="preserve"> Settings for metropolitan Melbourne for updates.</w:t>
      </w:r>
    </w:p>
    <w:p w14:paraId="53D0AC4F" w14:textId="443F228C" w:rsidR="001E2C40" w:rsidRDefault="001E2C40" w:rsidP="001E2C40">
      <w:pPr>
        <w:pStyle w:val="BodyText"/>
      </w:pPr>
      <w:r w:rsidRPr="001E2C40">
        <w:t xml:space="preserve">Submissions on the EES and Pipeline Licence Application must be made in writing and received by </w:t>
      </w:r>
      <w:r w:rsidR="00DD2249">
        <w:t>11.5</w:t>
      </w:r>
      <w:r w:rsidR="00DD2249" w:rsidRPr="00800933">
        <w:rPr>
          <w:rStyle w:val="Removedirectformatting"/>
        </w:rPr>
        <w:t>9</w:t>
      </w:r>
      <w:r w:rsidRPr="00800933">
        <w:rPr>
          <w:rStyle w:val="Removedirectformatting"/>
        </w:rPr>
        <w:t> pm on</w:t>
      </w:r>
      <w:r w:rsidR="00A7537F">
        <w:rPr>
          <w:rStyle w:val="Removedirectformatting"/>
        </w:rPr>
        <w:t xml:space="preserve"> Tuesday 1</w:t>
      </w:r>
      <w:r w:rsidR="00B97ADB">
        <w:rPr>
          <w:rStyle w:val="Removedirectformatting"/>
        </w:rPr>
        <w:t>7</w:t>
      </w:r>
      <w:r w:rsidR="00A7537F">
        <w:rPr>
          <w:rStyle w:val="Removedirectformatting"/>
        </w:rPr>
        <w:t xml:space="preserve"> August 2021</w:t>
      </w:r>
      <w:r w:rsidRPr="001E2C40">
        <w:t>.</w:t>
      </w:r>
      <w:r w:rsidRPr="00800933">
        <w:rPr>
          <w:rStyle w:val="Removedirectformatting"/>
        </w:rPr>
        <w:t xml:space="preserve"> </w:t>
      </w:r>
      <w:r w:rsidR="00A72854" w:rsidRPr="00800933">
        <w:rPr>
          <w:rStyle w:val="Removedirectformatting"/>
        </w:rPr>
        <w:t>Each submi</w:t>
      </w:r>
      <w:r w:rsidR="00A72854">
        <w:t xml:space="preserve">ssion is a public document and will be treated as a submission on the EES and the Pipeline Licence Application. </w:t>
      </w:r>
    </w:p>
    <w:p w14:paraId="7F66BBDC" w14:textId="77777777" w:rsidR="00DD2249" w:rsidRDefault="001E2C40" w:rsidP="00DD2249">
      <w:pPr>
        <w:pStyle w:val="BodyText"/>
      </w:pPr>
      <w:r w:rsidRPr="001E2C40">
        <w:t xml:space="preserve">Online submissions are preferred and can be </w:t>
      </w:r>
      <w:r w:rsidR="00DD2249">
        <w:t>lodged via the Victorian Government's engagement</w:t>
      </w:r>
      <w:r w:rsidRPr="001E2C40">
        <w:t xml:space="preserve"> website: </w:t>
      </w:r>
      <w:r w:rsidR="00DD2249" w:rsidRPr="0001769E">
        <w:rPr>
          <w:rStyle w:val="Hyperlink"/>
        </w:rPr>
        <w:t>www.</w:t>
      </w:r>
      <w:r w:rsidRPr="0001769E">
        <w:rPr>
          <w:rStyle w:val="Hyperlink"/>
        </w:rPr>
        <w:t>engage.vic.gov.au/worm-</w:t>
      </w:r>
      <w:r w:rsidR="00DD2249" w:rsidRPr="0001769E">
        <w:rPr>
          <w:rStyle w:val="Hyperlink"/>
        </w:rPr>
        <w:t>inquiry</w:t>
      </w:r>
      <w:r w:rsidRPr="00DD2249">
        <w:t>.</w:t>
      </w:r>
      <w:r>
        <w:t xml:space="preserve"> </w:t>
      </w:r>
    </w:p>
    <w:p w14:paraId="1A732C62" w14:textId="51A2D2FF" w:rsidR="00DD2249" w:rsidRDefault="00DD2249" w:rsidP="00DD2249">
      <w:pPr>
        <w:pStyle w:val="BodyText"/>
      </w:pPr>
      <w:r>
        <w:t xml:space="preserve">Where a submitter is unable to lodge a submission online, they </w:t>
      </w:r>
      <w:r w:rsidR="006375C7">
        <w:t xml:space="preserve">must </w:t>
      </w:r>
      <w:r>
        <w:t xml:space="preserve">contact </w:t>
      </w:r>
      <w:r w:rsidR="001E2C40" w:rsidRPr="001E2C40">
        <w:t xml:space="preserve">Planning Panels Victoria </w:t>
      </w:r>
      <w:r>
        <w:t xml:space="preserve">through the DELWP Customer Call Centre </w:t>
      </w:r>
      <w:r w:rsidR="001E2C40" w:rsidRPr="001E2C40">
        <w:t>on 136 186</w:t>
      </w:r>
      <w:r>
        <w:t xml:space="preserve"> (select option 6) and request a hard copy submission coversheet issued by Planning Panels Victoria</w:t>
      </w:r>
      <w:r w:rsidR="001E2C40" w:rsidRPr="001E2C40">
        <w:t xml:space="preserve">. </w:t>
      </w:r>
      <w:bookmarkEnd w:id="119"/>
    </w:p>
    <w:p w14:paraId="376E1B8E" w14:textId="54FB4C23" w:rsidR="001E2C40" w:rsidRPr="001E2C40" w:rsidRDefault="001E2C40" w:rsidP="00DD2249">
      <w:pPr>
        <w:pStyle w:val="BodyText"/>
      </w:pPr>
      <w:r w:rsidRPr="001E2C40">
        <w:t>All submissions must state the name and address of the person making the submissio</w:t>
      </w:r>
      <w:r>
        <w:t>n</w:t>
      </w:r>
      <w:r w:rsidRPr="001E2C40">
        <w:t>.</w:t>
      </w:r>
      <w:r w:rsidR="00DD2249">
        <w:t xml:space="preserve"> </w:t>
      </w:r>
      <w:r w:rsidR="00DD2249" w:rsidRPr="00DD2249">
        <w:t xml:space="preserve">Petitions will be treated as a single submission and only the first names from a petition </w:t>
      </w:r>
      <w:r w:rsidR="00F83A79">
        <w:t xml:space="preserve">submission </w:t>
      </w:r>
      <w:r w:rsidR="00DD2249" w:rsidRPr="00DD2249">
        <w:t>will be registered and contacted.</w:t>
      </w:r>
    </w:p>
    <w:p w14:paraId="582226C8" w14:textId="5B986D45" w:rsidR="00A72854" w:rsidRDefault="001E2C40" w:rsidP="000D5B94">
      <w:pPr>
        <w:pStyle w:val="BodyText"/>
      </w:pPr>
      <w:r w:rsidRPr="001E2C40">
        <w:t xml:space="preserve">All submissions will be treated as public documents in accordance with the Planning Panels Victoria Privacy Collection Notice and will be published on the Victorian Government’s engagement website. </w:t>
      </w:r>
      <w:r w:rsidR="00A72854">
        <w:t xml:space="preserve">Do not include personal information in the body of your submission (such as your email address or phone number). </w:t>
      </w:r>
      <w:r w:rsidR="00DD2249">
        <w:t>Your</w:t>
      </w:r>
      <w:r w:rsidRPr="001E2C40">
        <w:t xml:space="preserve"> submission and name will be made public. </w:t>
      </w:r>
    </w:p>
    <w:p w14:paraId="6F0FD424" w14:textId="212DE199" w:rsidR="00A72854" w:rsidRPr="00A72854" w:rsidRDefault="00A72854" w:rsidP="00A72854">
      <w:r w:rsidRPr="00A72854">
        <w:t xml:space="preserve">Members of the Public and any other parties seeking to be heard at </w:t>
      </w:r>
      <w:r>
        <w:t xml:space="preserve">a </w:t>
      </w:r>
      <w:r w:rsidRPr="00A72854">
        <w:t>public hearing are required to</w:t>
      </w:r>
      <w:r>
        <w:t xml:space="preserve"> submit a written submission and indicate on the submission form </w:t>
      </w:r>
      <w:r w:rsidRPr="00A72854">
        <w:t>that they would like to be heard at the hearing.</w:t>
      </w:r>
      <w:r>
        <w:t xml:space="preserve"> </w:t>
      </w:r>
    </w:p>
    <w:p w14:paraId="373D88F1" w14:textId="60E4BB59" w:rsidR="00A72854" w:rsidRPr="00A72854" w:rsidRDefault="00A72854" w:rsidP="00A72854">
      <w:r w:rsidRPr="00A72854">
        <w:lastRenderedPageBreak/>
        <w:t>The submissions process is independently</w:t>
      </w:r>
      <w:r>
        <w:t xml:space="preserve"> </w:t>
      </w:r>
      <w:r w:rsidRPr="00A72854">
        <w:t>managed by Planning Panels Victoria and any inquiries regarding the management of submissions and the Hearing process should be directed to them.</w:t>
      </w:r>
    </w:p>
    <w:p w14:paraId="788F7C83" w14:textId="41BBA5EF" w:rsidR="001E2C40" w:rsidRPr="00A72854" w:rsidRDefault="001E2C40" w:rsidP="00A72854">
      <w:pPr>
        <w:pStyle w:val="BodyText"/>
      </w:pPr>
      <w:r w:rsidRPr="001E2C40">
        <w:t xml:space="preserve">For more information about the submission process, contact Planning Panels Victoria on 136 186 </w:t>
      </w:r>
      <w:r w:rsidR="00A72854">
        <w:t xml:space="preserve">(select option 6) </w:t>
      </w:r>
      <w:r w:rsidRPr="001E2C40">
        <w:t xml:space="preserve">or </w:t>
      </w:r>
      <w:r w:rsidRPr="00A72854">
        <w:t xml:space="preserve">email </w:t>
      </w:r>
      <w:hyperlink r:id="rId45" w:history="1">
        <w:r w:rsidR="00A72854" w:rsidRPr="0001769E">
          <w:rPr>
            <w:rStyle w:val="Hyperlink"/>
          </w:rPr>
          <w:t>planning.panels@delwp.vic.gov.au</w:t>
        </w:r>
      </w:hyperlink>
      <w:r w:rsidRPr="00A72854">
        <w:t xml:space="preserve">. </w:t>
      </w:r>
    </w:p>
    <w:p w14:paraId="06B5A807" w14:textId="296A33FA" w:rsidR="001E2C40" w:rsidRDefault="001E2C40" w:rsidP="000D5B94">
      <w:pPr>
        <w:pStyle w:val="Heading4"/>
      </w:pPr>
      <w:bookmarkStart w:id="120" w:name="_Toc71137886"/>
      <w:bookmarkStart w:id="121" w:name="_Toc71137917"/>
      <w:bookmarkStart w:id="122" w:name="_Toc71731142"/>
      <w:bookmarkStart w:id="123" w:name="_Toc72510163"/>
      <w:bookmarkStart w:id="124" w:name="_Toc74108863"/>
      <w:bookmarkEnd w:id="120"/>
      <w:bookmarkEnd w:id="121"/>
      <w:r>
        <w:t>Next steps</w:t>
      </w:r>
      <w:bookmarkEnd w:id="122"/>
      <w:bookmarkEnd w:id="123"/>
      <w:bookmarkEnd w:id="124"/>
    </w:p>
    <w:p w14:paraId="003D4535" w14:textId="70649ABD" w:rsidR="00712AC5" w:rsidRPr="00712AC5" w:rsidRDefault="00712AC5" w:rsidP="00712AC5">
      <w:pPr>
        <w:pStyle w:val="BodyText"/>
      </w:pPr>
      <w:r w:rsidRPr="00712AC5">
        <w:t>Following public exhibition of the EES</w:t>
      </w:r>
      <w:r w:rsidR="0006514B">
        <w:t xml:space="preserve"> and Pipeline Licence</w:t>
      </w:r>
      <w:r w:rsidRPr="00712AC5">
        <w:t xml:space="preserve">, </w:t>
      </w:r>
      <w:r w:rsidR="0006514B">
        <w:t>an</w:t>
      </w:r>
      <w:r w:rsidR="0006514B" w:rsidRPr="00712AC5">
        <w:t xml:space="preserve"> </w:t>
      </w:r>
      <w:r w:rsidRPr="00712AC5">
        <w:t xml:space="preserve">Inquiry appointed by the Minister for Planning will consider the EES and public submissions. </w:t>
      </w:r>
      <w:r w:rsidR="0006514B">
        <w:t xml:space="preserve">A Panel may also be appointed by the Minister for Energy to consider the submissions received in relation to the Pipeline Licence. It is likely that the same members would be appointed as the Panel for the Pipeline Licence. </w:t>
      </w:r>
      <w:r w:rsidRPr="00712AC5">
        <w:t>The inquiry will make recommendations to assist the Minister’s assessment of the environmental effects under the Environment Effects Act. The</w:t>
      </w:r>
      <w:r w:rsidRPr="00712AC5" w:rsidDel="006D49AD">
        <w:t xml:space="preserve"> </w:t>
      </w:r>
      <w:r w:rsidR="006D49AD">
        <w:t>Inquiry</w:t>
      </w:r>
      <w:r w:rsidR="006D49AD" w:rsidRPr="00712AC5">
        <w:t xml:space="preserve"> </w:t>
      </w:r>
      <w:r w:rsidRPr="00712AC5">
        <w:t xml:space="preserve">may conduct formal public hearings at which APA and people who have made submissions can make presentations. </w:t>
      </w:r>
    </w:p>
    <w:p w14:paraId="4994A1E0" w14:textId="020F31DF" w:rsidR="00712AC5" w:rsidRPr="00712AC5" w:rsidRDefault="00712AC5" w:rsidP="00712AC5">
      <w:pPr>
        <w:pStyle w:val="BodyText"/>
      </w:pPr>
      <w:r w:rsidRPr="00712AC5">
        <w:t>Following receipt of the</w:t>
      </w:r>
      <w:r w:rsidRPr="00712AC5" w:rsidDel="006D49AD">
        <w:t xml:space="preserve"> </w:t>
      </w:r>
      <w:r w:rsidR="006D49AD">
        <w:t>Inquiry's</w:t>
      </w:r>
      <w:r w:rsidR="006D49AD" w:rsidRPr="00712AC5">
        <w:t xml:space="preserve"> </w:t>
      </w:r>
      <w:r w:rsidRPr="00712AC5">
        <w:t xml:space="preserve">report, an assessment of the </w:t>
      </w:r>
      <w:r>
        <w:t>P</w:t>
      </w:r>
      <w:r w:rsidRPr="00712AC5">
        <w:t>roject will be made by the Minister</w:t>
      </w:r>
      <w:r w:rsidR="00E94BD2">
        <w:t> </w:t>
      </w:r>
      <w:r w:rsidRPr="00712AC5">
        <w:t xml:space="preserve">for Planning. The Minister’s assessment makes recommendations about whether the environmental effects of the </w:t>
      </w:r>
      <w:r>
        <w:t>P</w:t>
      </w:r>
      <w:r w:rsidRPr="00712AC5">
        <w:t xml:space="preserve">roject are acceptable, along with any modifications or further management measures the Minister considers appropriate. In preparing this assessment, the Minister considers all relevant information, including the EES documents, public </w:t>
      </w:r>
      <w:proofErr w:type="gramStart"/>
      <w:r w:rsidRPr="00712AC5">
        <w:t>submissions</w:t>
      </w:r>
      <w:proofErr w:type="gramEnd"/>
      <w:r w:rsidRPr="00712AC5">
        <w:t xml:space="preserve"> and the report from the Inquiry. </w:t>
      </w:r>
    </w:p>
    <w:p w14:paraId="31966667" w14:textId="77777777" w:rsidR="00014F1E" w:rsidRPr="00712AC5" w:rsidRDefault="00014F1E" w:rsidP="00014F1E">
      <w:pPr>
        <w:pStyle w:val="BodyText"/>
      </w:pPr>
      <w:r w:rsidRPr="00762C78">
        <w:t xml:space="preserve">After considering the Victorian Minister for Planning’s assessment under the EE Act, the Commonwealth Minister for the Environment or their delegate will decide whether the Project is approved, approved with </w:t>
      </w:r>
      <w:proofErr w:type="gramStart"/>
      <w:r w:rsidRPr="00762C78">
        <w:t>conditions</w:t>
      </w:r>
      <w:proofErr w:type="gramEnd"/>
      <w:r w:rsidRPr="00762C78">
        <w:t xml:space="preserve"> or refused under the </w:t>
      </w:r>
      <w:proofErr w:type="spellStart"/>
      <w:r w:rsidRPr="00762C78">
        <w:t>EPBC</w:t>
      </w:r>
      <w:proofErr w:type="spellEnd"/>
      <w:r w:rsidRPr="00762C78">
        <w:t xml:space="preserve"> Act.</w:t>
      </w:r>
    </w:p>
    <w:p w14:paraId="65A6E3E0" w14:textId="4612A03F" w:rsidR="00014F1E" w:rsidRPr="00712AC5" w:rsidRDefault="00712AC5">
      <w:pPr>
        <w:pStyle w:val="BodyText"/>
      </w:pPr>
      <w:r w:rsidRPr="00712AC5">
        <w:t xml:space="preserve">The relevant decision-makers for the approvals required by the </w:t>
      </w:r>
      <w:r>
        <w:t>P</w:t>
      </w:r>
      <w:r w:rsidRPr="00712AC5">
        <w:t>roject would then consider the Minister’s assessment.</w:t>
      </w:r>
    </w:p>
    <w:sectPr w:rsidR="00014F1E" w:rsidRPr="00712AC5" w:rsidSect="00CE5CD3">
      <w:footerReference w:type="default" r:id="rId46"/>
      <w:type w:val="oddPage"/>
      <w:pgSz w:w="11906" w:h="16838" w:code="9"/>
      <w:pgMar w:top="1418" w:right="1418" w:bottom="1418" w:left="1418" w:header="567" w:footer="567" w:gutter="0"/>
      <w:pgNumType w:start="1" w:chapStyle="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0525EB" w14:textId="77777777" w:rsidR="00800933" w:rsidRDefault="00800933" w:rsidP="00A02FC6">
      <w:r>
        <w:separator/>
      </w:r>
    </w:p>
  </w:endnote>
  <w:endnote w:type="continuationSeparator" w:id="0">
    <w:p w14:paraId="7FA6FCC7" w14:textId="77777777" w:rsidR="00800933" w:rsidRDefault="00800933" w:rsidP="00A02FC6">
      <w:r>
        <w:continuationSeparator/>
      </w:r>
    </w:p>
  </w:endnote>
  <w:endnote w:type="continuationNotice" w:id="1">
    <w:p w14:paraId="5CE4EA28" w14:textId="77777777" w:rsidR="00800933" w:rsidRDefault="0080093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4162E" w14:textId="0EA223AB" w:rsidR="00800933" w:rsidRPr="00A825FD" w:rsidRDefault="00800933" w:rsidP="00A81947">
    <w:pPr>
      <w:pStyle w:val="Footer"/>
    </w:pPr>
    <w:r>
      <w:rPr>
        <w:noProof w:val="0"/>
      </w:rPr>
      <w:fldChar w:fldCharType="begin"/>
    </w:r>
    <w:r>
      <w:instrText xml:space="preserve"> PAGE   \* MERGEFORMAT </w:instrText>
    </w:r>
    <w:r>
      <w:rPr>
        <w:noProof w:val="0"/>
      </w:rPr>
      <w:fldChar w:fldCharType="separate"/>
    </w:r>
    <w:r>
      <w:t>4</w:t>
    </w:r>
    <w:r>
      <w:fldChar w:fldCharType="end"/>
    </w:r>
    <w:r>
      <w:ptab w:relativeTo="margin" w:alignment="right" w:leader="none"/>
    </w:r>
    <w:r w:rsidRPr="006C360D">
      <w:fldChar w:fldCharType="begin"/>
    </w:r>
    <w:r w:rsidRPr="006C360D">
      <w:instrText xml:space="preserve"> IF</w:instrText>
    </w:r>
    <w:r w:rsidRPr="006C360D">
      <w:fldChar w:fldCharType="begin"/>
    </w:r>
    <w:r w:rsidRPr="006C360D">
      <w:instrText xml:space="preserve"> STYLEREF "Heading 2" </w:instrText>
    </w:r>
    <w:r w:rsidRPr="006C360D">
      <w:fldChar w:fldCharType="separate"/>
    </w:r>
    <w:r w:rsidR="00113B39">
      <w:instrText>Executive summary</w:instrText>
    </w:r>
    <w:r w:rsidRPr="006C360D">
      <w:fldChar w:fldCharType="end"/>
    </w:r>
    <w:r w:rsidRPr="006C360D">
      <w:instrText>&lt;&gt;"Error*""</w:instrText>
    </w:r>
    <w:r w:rsidRPr="006C360D">
      <w:fldChar w:fldCharType="begin"/>
    </w:r>
    <w:r w:rsidRPr="006C360D">
      <w:instrText xml:space="preserve"> STYLEREF "Heading 2" </w:instrText>
    </w:r>
    <w:r w:rsidRPr="006C360D">
      <w:fldChar w:fldCharType="separate"/>
    </w:r>
    <w:r w:rsidR="00113B39">
      <w:instrText>Executive summary</w:instrText>
    </w:r>
    <w:r w:rsidRPr="006C360D">
      <w:fldChar w:fldCharType="end"/>
    </w:r>
    <w:r w:rsidRPr="006C360D">
      <w:instrText>"</w:instrText>
    </w:r>
    <w:r w:rsidRPr="006C360D">
      <w:fldChar w:fldCharType="separate"/>
    </w:r>
    <w:r w:rsidR="00113B39">
      <w:t>Executive summary</w:t>
    </w:r>
    <w:r w:rsidRPr="006C360D">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3982C" w14:textId="64833C8A" w:rsidR="00800933" w:rsidRPr="00204A6F" w:rsidRDefault="00800933" w:rsidP="00204A6F">
    <w:pPr>
      <w:pStyle w:val="Footer"/>
    </w:pPr>
    <w:r w:rsidRPr="006C360D">
      <w:fldChar w:fldCharType="begin"/>
    </w:r>
    <w:r w:rsidRPr="006C360D">
      <w:instrText xml:space="preserve"> IF</w:instrText>
    </w:r>
    <w:r w:rsidRPr="006C360D">
      <w:fldChar w:fldCharType="begin"/>
    </w:r>
    <w:r w:rsidRPr="006C360D">
      <w:instrText xml:space="preserve"> STYLEREF "Heading 2" </w:instrText>
    </w:r>
    <w:r w:rsidRPr="006C360D">
      <w:fldChar w:fldCharType="separate"/>
    </w:r>
    <w:r w:rsidR="00113B39">
      <w:instrText>Executive summary</w:instrText>
    </w:r>
    <w:r w:rsidRPr="006C360D">
      <w:fldChar w:fldCharType="end"/>
    </w:r>
    <w:r w:rsidRPr="006C360D">
      <w:instrText>&lt;&gt;"Error*""</w:instrText>
    </w:r>
    <w:r w:rsidRPr="006C360D">
      <w:fldChar w:fldCharType="begin"/>
    </w:r>
    <w:r w:rsidRPr="006C360D">
      <w:instrText xml:space="preserve"> STYLEREF "Heading 2" </w:instrText>
    </w:r>
    <w:r w:rsidRPr="006C360D">
      <w:fldChar w:fldCharType="separate"/>
    </w:r>
    <w:r w:rsidR="00113B39">
      <w:instrText>Executive summary</w:instrText>
    </w:r>
    <w:r w:rsidRPr="006C360D">
      <w:fldChar w:fldCharType="end"/>
    </w:r>
    <w:r w:rsidRPr="006C360D">
      <w:instrText>"</w:instrText>
    </w:r>
    <w:r w:rsidRPr="006C360D">
      <w:fldChar w:fldCharType="separate"/>
    </w:r>
    <w:r w:rsidR="00113B39">
      <w:t>Executive summary</w:t>
    </w:r>
    <w:r w:rsidRPr="006C360D">
      <w:fldChar w:fldCharType="end"/>
    </w:r>
    <w:r>
      <w:fldChar w:fldCharType="begin"/>
    </w:r>
    <w:r>
      <w:instrText xml:space="preserve"> IF</w:instrText>
    </w:r>
    <w:r>
      <w:fldChar w:fldCharType="begin"/>
    </w:r>
    <w:r>
      <w:instrText xml:space="preserve"> STYLEREF "Heading 1" </w:instrText>
    </w:r>
    <w:r>
      <w:fldChar w:fldCharType="separate"/>
    </w:r>
    <w:r w:rsidR="00113B39">
      <w:rPr>
        <w:b/>
        <w:bCs/>
        <w:lang w:val="en-US"/>
      </w:rPr>
      <w:instrText>Error! No text of specified style in document.</w:instrText>
    </w:r>
    <w:r>
      <w:fldChar w:fldCharType="end"/>
    </w:r>
    <w:r>
      <w:instrText>&lt;&gt;"Error*""</w:instrText>
    </w:r>
    <w:r>
      <w:fldChar w:fldCharType="begin"/>
    </w:r>
    <w:r>
      <w:instrText xml:space="preserve"> STYLEREF "Heading 1" </w:instrText>
    </w:r>
    <w:r>
      <w:fldChar w:fldCharType="end"/>
    </w:r>
    <w:r>
      <w:instrText>"</w:instrText>
    </w:r>
    <w:r>
      <w:fldChar w:fldCharType="end"/>
    </w:r>
    <w:r>
      <w:ptab w:relativeTo="margin" w:alignment="right" w:leader="none"/>
    </w:r>
    <w:r>
      <w:rPr>
        <w:noProof w:val="0"/>
      </w:rPr>
      <w:fldChar w:fldCharType="begin"/>
    </w:r>
    <w:r>
      <w:instrText xml:space="preserve"> PAGE   \* MERGEFORMAT </w:instrText>
    </w:r>
    <w:r>
      <w:rPr>
        <w:noProof w:val="0"/>
      </w:rPr>
      <w:fldChar w:fldCharType="separate"/>
    </w:r>
    <w:r>
      <w:t>iii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64ED7" w14:textId="63D9783A" w:rsidR="00800933" w:rsidRPr="001E331D" w:rsidRDefault="00800933" w:rsidP="004F4EF2">
    <w:pPr>
      <w:pStyle w:val="Footer"/>
      <w:rPr>
        <w:sz w:val="20"/>
        <w:szCs w:val="20"/>
      </w:rPr>
    </w:pPr>
    <w:r w:rsidRPr="001E331D">
      <w:rPr>
        <w:sz w:val="20"/>
        <w:szCs w:val="20"/>
      </w:rPr>
      <w:fldChar w:fldCharType="begin"/>
    </w:r>
    <w:r w:rsidRPr="001E331D">
      <w:rPr>
        <w:sz w:val="20"/>
        <w:szCs w:val="20"/>
      </w:rPr>
      <w:instrText xml:space="preserve"> IF</w:instrText>
    </w:r>
    <w:r w:rsidRPr="001E331D">
      <w:rPr>
        <w:sz w:val="20"/>
        <w:szCs w:val="20"/>
      </w:rPr>
      <w:fldChar w:fldCharType="begin"/>
    </w:r>
    <w:r w:rsidRPr="001E331D">
      <w:rPr>
        <w:sz w:val="20"/>
        <w:szCs w:val="20"/>
      </w:rPr>
      <w:instrText xml:space="preserve"> STYLEREF "Cover Subtitle" </w:instrText>
    </w:r>
    <w:r w:rsidRPr="001E331D">
      <w:rPr>
        <w:sz w:val="20"/>
        <w:szCs w:val="20"/>
      </w:rPr>
      <w:fldChar w:fldCharType="separate"/>
    </w:r>
    <w:r w:rsidR="00113B39">
      <w:rPr>
        <w:b/>
        <w:bCs/>
        <w:sz w:val="20"/>
        <w:szCs w:val="20"/>
        <w:lang w:val="en-US"/>
      </w:rPr>
      <w:instrText>Error! No text of specified style in document.</w:instrText>
    </w:r>
    <w:r w:rsidRPr="001E331D">
      <w:rPr>
        <w:sz w:val="20"/>
        <w:szCs w:val="20"/>
      </w:rPr>
      <w:fldChar w:fldCharType="end"/>
    </w:r>
    <w:r w:rsidRPr="001E331D">
      <w:rPr>
        <w:sz w:val="20"/>
        <w:szCs w:val="20"/>
      </w:rPr>
      <w:instrText>&lt;&gt;"Error*""</w:instrText>
    </w:r>
    <w:r w:rsidRPr="001E331D">
      <w:rPr>
        <w:sz w:val="20"/>
        <w:szCs w:val="20"/>
      </w:rPr>
      <w:fldChar w:fldCharType="begin"/>
    </w:r>
    <w:r w:rsidRPr="001E331D">
      <w:rPr>
        <w:sz w:val="20"/>
        <w:szCs w:val="20"/>
      </w:rPr>
      <w:instrText xml:space="preserve"> STYLEREF "Cover Subtitle" </w:instrText>
    </w:r>
    <w:r w:rsidRPr="001E331D">
      <w:rPr>
        <w:sz w:val="20"/>
        <w:szCs w:val="20"/>
      </w:rPr>
      <w:fldChar w:fldCharType="separate"/>
    </w:r>
    <w:r w:rsidRPr="001E331D">
      <w:rPr>
        <w:sz w:val="20"/>
        <w:szCs w:val="20"/>
      </w:rPr>
      <w:instrText>Cover Subtitle</w:instrText>
    </w:r>
    <w:r w:rsidRPr="001E331D">
      <w:rPr>
        <w:sz w:val="20"/>
        <w:szCs w:val="20"/>
      </w:rPr>
      <w:fldChar w:fldCharType="end"/>
    </w:r>
    <w:r w:rsidRPr="001E331D">
      <w:rPr>
        <w:sz w:val="20"/>
        <w:szCs w:val="20"/>
      </w:rPr>
      <w:instrText>"</w:instrText>
    </w:r>
    <w:r w:rsidRPr="001E331D">
      <w:rPr>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F6FAB" w14:textId="5C721CE0" w:rsidR="00000EC1" w:rsidRDefault="00B87D7D">
    <w:pPr>
      <w:pStyle w:val="Footer"/>
    </w:pPr>
    <w:r w:rsidRPr="006C360D">
      <w:fldChar w:fldCharType="begin"/>
    </w:r>
    <w:r w:rsidRPr="006C360D">
      <w:instrText xml:space="preserve"> IF</w:instrText>
    </w:r>
    <w:r w:rsidRPr="006C360D">
      <w:fldChar w:fldCharType="begin"/>
    </w:r>
    <w:r w:rsidRPr="006C360D">
      <w:instrText xml:space="preserve"> STYLEREF "Heading 2" </w:instrText>
    </w:r>
    <w:r w:rsidRPr="006C360D">
      <w:fldChar w:fldCharType="separate"/>
    </w:r>
    <w:r w:rsidR="00113B39">
      <w:instrText>Executive summary</w:instrText>
    </w:r>
    <w:r w:rsidRPr="006C360D">
      <w:fldChar w:fldCharType="end"/>
    </w:r>
    <w:r w:rsidRPr="006C360D">
      <w:instrText>&lt;&gt;"Error*""</w:instrText>
    </w:r>
    <w:r w:rsidRPr="006C360D">
      <w:fldChar w:fldCharType="begin"/>
    </w:r>
    <w:r w:rsidRPr="006C360D">
      <w:instrText xml:space="preserve"> STYLEREF "Heading 2" </w:instrText>
    </w:r>
    <w:r w:rsidRPr="006C360D">
      <w:fldChar w:fldCharType="separate"/>
    </w:r>
    <w:r w:rsidR="00113B39">
      <w:instrText>Executive summary</w:instrText>
    </w:r>
    <w:r w:rsidRPr="006C360D">
      <w:fldChar w:fldCharType="end"/>
    </w:r>
    <w:r w:rsidRPr="006C360D">
      <w:instrText>"</w:instrText>
    </w:r>
    <w:r w:rsidRPr="006C360D">
      <w:fldChar w:fldCharType="separate"/>
    </w:r>
    <w:r w:rsidR="00113B39">
      <w:t>Executive summary</w:t>
    </w:r>
    <w:r w:rsidRPr="006C360D">
      <w:fldChar w:fldCharType="end"/>
    </w:r>
    <w:r>
      <w:fldChar w:fldCharType="begin"/>
    </w:r>
    <w:r>
      <w:instrText xml:space="preserve"> IF</w:instrText>
    </w:r>
    <w:r>
      <w:fldChar w:fldCharType="begin"/>
    </w:r>
    <w:r>
      <w:instrText xml:space="preserve"> STYLEREF "Heading 1" </w:instrText>
    </w:r>
    <w:r>
      <w:fldChar w:fldCharType="separate"/>
    </w:r>
    <w:r w:rsidR="00113B39">
      <w:rPr>
        <w:b/>
        <w:bCs/>
        <w:lang w:val="en-US"/>
      </w:rPr>
      <w:instrText>Error! No text of specified style in document.</w:instrText>
    </w:r>
    <w:r>
      <w:fldChar w:fldCharType="end"/>
    </w:r>
    <w:r>
      <w:instrText>&lt;&gt;"Error*""</w:instrText>
    </w:r>
    <w:r>
      <w:fldChar w:fldCharType="begin"/>
    </w:r>
    <w:r>
      <w:instrText xml:space="preserve"> STYLEREF "Heading 1" </w:instrText>
    </w:r>
    <w:r>
      <w:fldChar w:fldCharType="end"/>
    </w:r>
    <w:r>
      <w:instrText>"</w:instrText>
    </w:r>
    <w:r>
      <w:fldChar w:fldCharType="end"/>
    </w:r>
    <w:r>
      <w:ptab w:relativeTo="margin" w:alignment="right" w:leader="none"/>
    </w:r>
    <w:r>
      <w:rPr>
        <w:noProof w:val="0"/>
      </w:rPr>
      <w:fldChar w:fldCharType="begin"/>
    </w:r>
    <w:r>
      <w:instrText xml:space="preserve"> PAGE   \* MERGEFORMAT </w:instrText>
    </w:r>
    <w:r>
      <w:rPr>
        <w:noProof w:val="0"/>
      </w:rPr>
      <w:fldChar w:fldCharType="separate"/>
    </w:r>
    <w:r>
      <w:t>iii</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FD5C8D" w14:textId="77777777" w:rsidR="00800933" w:rsidRDefault="00800933" w:rsidP="0036083B">
      <w:pPr>
        <w:spacing w:before="360"/>
      </w:pPr>
      <w:r>
        <w:separator/>
      </w:r>
    </w:p>
  </w:footnote>
  <w:footnote w:type="continuationSeparator" w:id="0">
    <w:p w14:paraId="4E1920D2" w14:textId="77777777" w:rsidR="00800933" w:rsidRDefault="00800933" w:rsidP="0036083B">
      <w:pPr>
        <w:spacing w:before="360"/>
      </w:pPr>
      <w:r>
        <w:continuationSeparator/>
      </w:r>
    </w:p>
  </w:footnote>
  <w:footnote w:type="continuationNotice" w:id="1">
    <w:p w14:paraId="4B58BD2E" w14:textId="77777777" w:rsidR="00800933" w:rsidRDefault="00800933" w:rsidP="00A02FC6"/>
  </w:footnote>
  <w:footnote w:id="2">
    <w:p w14:paraId="7DBE72C2" w14:textId="77777777" w:rsidR="00800933" w:rsidRDefault="00800933" w:rsidP="001278E1">
      <w:pPr>
        <w:pStyle w:val="FootnoteText"/>
      </w:pPr>
      <w:r>
        <w:rPr>
          <w:rStyle w:val="FootnoteReference"/>
        </w:rPr>
        <w:footnoteRef/>
      </w:r>
      <w:r>
        <w:tab/>
        <w:t>Victorian Renewable Energy Target – 2018-19 Progress Report, Table 1, page 7.</w:t>
      </w:r>
    </w:p>
  </w:footnote>
  <w:footnote w:id="3">
    <w:p w14:paraId="0E4587C6" w14:textId="77777777" w:rsidR="00800933" w:rsidRDefault="00800933" w:rsidP="004C2FF0">
      <w:pPr>
        <w:pStyle w:val="FootnoteText"/>
      </w:pPr>
      <w:r>
        <w:rPr>
          <w:rStyle w:val="FootnoteReference"/>
        </w:rPr>
        <w:footnoteRef/>
      </w:r>
      <w:r>
        <w:tab/>
      </w:r>
      <w:hyperlink r:id="rId1" w:history="1">
        <w:r w:rsidRPr="0044286F">
          <w:rPr>
            <w:rStyle w:val="Hyperlink"/>
          </w:rPr>
          <w:t>https://www.apa.com.au/globalassets/about-apa/our-projects/western-outer-ring-main-project/western-outer-ring-main-project-route-options-report.pdf</w:t>
        </w:r>
      </w:hyperlink>
      <w:r>
        <w:t>.</w:t>
      </w:r>
    </w:p>
  </w:footnote>
  <w:footnote w:id="4">
    <w:p w14:paraId="0BFDA8C0" w14:textId="3FA2E997" w:rsidR="00800933" w:rsidRPr="00375E98" w:rsidRDefault="00800933" w:rsidP="00375E98">
      <w:pPr>
        <w:pStyle w:val="FootnoteText"/>
      </w:pPr>
      <w:r w:rsidRPr="00375E98">
        <w:rPr>
          <w:rStyle w:val="FootnoteReference"/>
        </w:rPr>
        <w:footnoteRef/>
      </w:r>
      <w:r>
        <w:tab/>
      </w:r>
      <w:r w:rsidRPr="00375E98">
        <w:t>Code of practice for noise and vibration control on construction and open sites, British</w:t>
      </w:r>
      <w:r>
        <w:t> </w:t>
      </w:r>
      <w:r w:rsidRPr="00375E98">
        <w:t>Standard</w:t>
      </w:r>
      <w:r>
        <w:t> </w:t>
      </w:r>
      <w:r w:rsidRPr="00375E98">
        <w:t>BS</w:t>
      </w:r>
      <w:r>
        <w:t> </w:t>
      </w:r>
      <w:r w:rsidRPr="00375E98">
        <w:t>5228</w:t>
      </w:r>
      <w:r>
        <w:noBreakHyphen/>
      </w:r>
      <w:r w:rsidRPr="00375E98">
        <w:t>2:2009</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B1B69" w14:textId="77777777" w:rsidR="00800933" w:rsidRDefault="00800933" w:rsidP="0014525F">
    <w:pPr>
      <w:pStyle w:val="HeaderEven"/>
    </w:pPr>
    <w:r w:rsidRPr="00F3331F">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ABC9D" w14:textId="77777777" w:rsidR="00800933" w:rsidRDefault="00800933" w:rsidP="00F3331F">
    <w:pPr>
      <w:pStyle w:val="Header"/>
      <w:jc w:val="right"/>
    </w:pPr>
    <w:r>
      <w:rPr>
        <w:noProof/>
      </w:rPr>
      <w:drawing>
        <wp:inline distT="0" distB="0" distL="0" distR="0" wp14:anchorId="610591FC" wp14:editId="2DBE5EEB">
          <wp:extent cx="2937600" cy="529200"/>
          <wp:effectExtent l="0" t="0" r="0" b="4445"/>
          <wp:docPr id="9" name="Picture 9" descr="APA_ProjectBranding_Draft-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A_ProjectBranding_Draft-02-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37600" cy="52920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97913" w14:textId="4E668549" w:rsidR="00800933" w:rsidRPr="000D7CAF" w:rsidRDefault="00800933" w:rsidP="000D7CAF">
    <w:pPr>
      <w:pStyle w:val="Header"/>
    </w:pPr>
    <w:r>
      <w:fldChar w:fldCharType="begin"/>
    </w:r>
    <w:r>
      <w:instrText xml:space="preserve"> IF</w:instrText>
    </w:r>
    <w:r>
      <w:rPr>
        <w:noProof/>
      </w:rPr>
      <w:fldChar w:fldCharType="begin"/>
    </w:r>
    <w:r>
      <w:rPr>
        <w:noProof/>
      </w:rPr>
      <w:instrText xml:space="preserve"> STYLEREF "Cover Title" </w:instrText>
    </w:r>
    <w:r>
      <w:rPr>
        <w:noProof/>
      </w:rPr>
      <w:fldChar w:fldCharType="separate"/>
    </w:r>
    <w:r w:rsidR="00113B39">
      <w:rPr>
        <w:b/>
        <w:bCs/>
        <w:noProof/>
        <w:lang w:val="en-US"/>
      </w:rPr>
      <w:instrText>Error! No text of specified style in document.</w:instrText>
    </w:r>
    <w:r>
      <w:rPr>
        <w:noProof/>
      </w:rPr>
      <w:fldChar w:fldCharType="end"/>
    </w:r>
    <w:r>
      <w:instrText>&lt;&gt;"Error*""</w:instrText>
    </w:r>
    <w:r>
      <w:rPr>
        <w:noProof/>
      </w:rPr>
      <w:fldChar w:fldCharType="begin"/>
    </w:r>
    <w:r>
      <w:rPr>
        <w:noProof/>
      </w:rPr>
      <w:instrText xml:space="preserve"> STYLEREF "Cover Title" </w:instrText>
    </w:r>
    <w:r>
      <w:rPr>
        <w:noProof/>
      </w:rPr>
      <w:fldChar w:fldCharType="separate"/>
    </w:r>
    <w:r>
      <w:rPr>
        <w:noProof/>
      </w:rPr>
      <w:instrText>Cover Title</w:instrText>
    </w:r>
    <w:r>
      <w:rPr>
        <w:noProof/>
      </w:rPr>
      <w:fldChar w:fldCharType="end"/>
    </w:r>
    <w:r>
      <w:instrText>"</w:instrTex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65DD2" w14:textId="5D652211" w:rsidR="00800933" w:rsidRPr="000D7CAF" w:rsidRDefault="00800933" w:rsidP="000D7CAF">
    <w:pPr>
      <w:pStyle w:val="Header"/>
    </w:pPr>
    <w:r>
      <w:fldChar w:fldCharType="begin"/>
    </w:r>
    <w:r>
      <w:instrText xml:space="preserve"> IF</w:instrText>
    </w:r>
    <w:r>
      <w:rPr>
        <w:noProof/>
      </w:rPr>
      <w:fldChar w:fldCharType="begin"/>
    </w:r>
    <w:r>
      <w:rPr>
        <w:noProof/>
      </w:rPr>
      <w:instrText xml:space="preserve"> STYLEREF "Cover Title" </w:instrText>
    </w:r>
    <w:r>
      <w:rPr>
        <w:noProof/>
      </w:rPr>
      <w:fldChar w:fldCharType="separate"/>
    </w:r>
    <w:r>
      <w:rPr>
        <w:b/>
        <w:bCs/>
        <w:noProof/>
        <w:lang w:val="en-US"/>
      </w:rPr>
      <w:instrText>Error! No text of specified style in document.</w:instrText>
    </w:r>
    <w:r>
      <w:rPr>
        <w:noProof/>
      </w:rPr>
      <w:fldChar w:fldCharType="end"/>
    </w:r>
    <w:r>
      <w:instrText>&lt;&gt;"Error*""</w:instrText>
    </w:r>
    <w:r>
      <w:rPr>
        <w:noProof/>
      </w:rPr>
      <w:fldChar w:fldCharType="begin"/>
    </w:r>
    <w:r>
      <w:rPr>
        <w:noProof/>
      </w:rPr>
      <w:instrText xml:space="preserve"> STYLEREF "Cover Title" </w:instrText>
    </w:r>
    <w:r>
      <w:rPr>
        <w:noProof/>
      </w:rPr>
      <w:fldChar w:fldCharType="separate"/>
    </w:r>
    <w:r>
      <w:rPr>
        <w:noProof/>
      </w:rPr>
      <w:instrText>Cover Title</w:instrText>
    </w:r>
    <w:r>
      <w:rPr>
        <w:noProof/>
      </w:rPr>
      <w:fldChar w:fldCharType="end"/>
    </w:r>
    <w:r>
      <w:instrText>"</w:instrTex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2FC7A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886F6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294A70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E2D1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261B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4865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9" w15:restartNumberingAfterBreak="0">
    <w:nsid w:val="0D7D2843"/>
    <w:multiLevelType w:val="multilevel"/>
    <w:tmpl w:val="13B0B224"/>
    <w:lvl w:ilvl="0">
      <w:start w:val="1"/>
      <w:numFmt w:val="bullet"/>
      <w:pStyle w:val="TableBullet1"/>
      <w:lvlText w:val=""/>
      <w:lvlJc w:val="left"/>
      <w:pPr>
        <w:ind w:left="340" w:hanging="340"/>
      </w:pPr>
      <w:rPr>
        <w:rFonts w:ascii="Symbol" w:hAnsi="Symbol" w:hint="default"/>
        <w:b w:val="0"/>
        <w:i w:val="0"/>
        <w:color w:val="1C4483" w:themeColor="accent1"/>
        <w:sz w:val="18"/>
      </w:rPr>
    </w:lvl>
    <w:lvl w:ilvl="1">
      <w:start w:val="1"/>
      <w:numFmt w:val="bullet"/>
      <w:pStyle w:val="TableBullet2"/>
      <w:lvlText w:val="–"/>
      <w:lvlJc w:val="left"/>
      <w:pPr>
        <w:ind w:left="680" w:hanging="340"/>
      </w:pPr>
      <w:rPr>
        <w:rFonts w:hint="default"/>
        <w:b w:val="0"/>
        <w:i w:val="0"/>
        <w:color w:val="1C4483" w:themeColor="accent1"/>
        <w:sz w:val="18"/>
      </w:rPr>
    </w:lvl>
    <w:lvl w:ilvl="2">
      <w:start w:val="1"/>
      <w:numFmt w:val="bullet"/>
      <w:pStyle w:val="TableBullet3"/>
      <w:lvlText w:val="-"/>
      <w:lvlJc w:val="left"/>
      <w:pPr>
        <w:ind w:left="1020" w:hanging="340"/>
      </w:pPr>
      <w:rPr>
        <w:rFonts w:hint="default"/>
        <w:b w:val="0"/>
        <w:i w:val="0"/>
        <w:color w:val="1C4483" w:themeColor="accent1"/>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0" w15:restartNumberingAfterBreak="0">
    <w:nsid w:val="11621637"/>
    <w:multiLevelType w:val="multilevel"/>
    <w:tmpl w:val="471A262A"/>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1C4483" w:themeColor="accent1"/>
      </w:rPr>
    </w:lvl>
    <w:lvl w:ilvl="2">
      <w:start w:val="1"/>
      <w:numFmt w:val="lowerLetter"/>
      <w:lvlText w:val="%3"/>
      <w:lvlJc w:val="left"/>
      <w:pPr>
        <w:ind w:left="680" w:hanging="340"/>
      </w:pPr>
      <w:rPr>
        <w:rFonts w:hint="default"/>
        <w:color w:val="1C4483" w:themeColor="accent1"/>
      </w:rPr>
    </w:lvl>
    <w:lvl w:ilvl="3">
      <w:start w:val="1"/>
      <w:numFmt w:val="lowerRoman"/>
      <w:lvlText w:val="%4"/>
      <w:lvlJc w:val="left"/>
      <w:pPr>
        <w:ind w:left="1021" w:hanging="341"/>
      </w:pPr>
      <w:rPr>
        <w:rFonts w:hint="default"/>
        <w:color w:val="1C4483"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1"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44C35FE"/>
    <w:multiLevelType w:val="multilevel"/>
    <w:tmpl w:val="7DDE2FA2"/>
    <w:lvl w:ilvl="0">
      <w:start w:val="1"/>
      <w:numFmt w:val="bullet"/>
      <w:lvlText w:val=""/>
      <w:lvlJc w:val="left"/>
      <w:pPr>
        <w:ind w:left="340" w:hanging="340"/>
      </w:pPr>
      <w:rPr>
        <w:rFonts w:ascii="Symbol" w:hAnsi="Symbol" w:hint="default"/>
        <w:b w:val="0"/>
        <w:i w:val="0"/>
        <w:color w:val="1C4483" w:themeColor="accent1"/>
        <w:sz w:val="18"/>
      </w:rPr>
    </w:lvl>
    <w:lvl w:ilvl="1">
      <w:start w:val="1"/>
      <w:numFmt w:val="bullet"/>
      <w:lvlText w:val="–"/>
      <w:lvlJc w:val="left"/>
      <w:pPr>
        <w:ind w:left="680" w:hanging="340"/>
      </w:pPr>
      <w:rPr>
        <w:rFonts w:ascii="Arial" w:hAnsi="Arial" w:hint="default"/>
        <w:b w:val="0"/>
        <w:i w:val="0"/>
        <w:color w:val="1C4483" w:themeColor="accent1"/>
        <w:sz w:val="18"/>
      </w:rPr>
    </w:lvl>
    <w:lvl w:ilvl="2">
      <w:start w:val="1"/>
      <w:numFmt w:val="bullet"/>
      <w:lvlText w:val="-"/>
      <w:lvlJc w:val="left"/>
      <w:pPr>
        <w:ind w:left="1020" w:hanging="340"/>
      </w:pPr>
      <w:rPr>
        <w:rFonts w:ascii="Arial" w:hAnsi="Arial" w:hint="default"/>
        <w:b w:val="0"/>
        <w:i w:val="0"/>
        <w:color w:val="1C4483" w:themeColor="accent1"/>
        <w:sz w:val="18"/>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3" w15:restartNumberingAfterBreak="0">
    <w:nsid w:val="2F021BB3"/>
    <w:multiLevelType w:val="multilevel"/>
    <w:tmpl w:val="572829B8"/>
    <w:lvl w:ilvl="0">
      <w:start w:val="1"/>
      <w:numFmt w:val="decimal"/>
      <w:lvlText w:val="%1"/>
      <w:lvlJc w:val="left"/>
      <w:pPr>
        <w:ind w:left="340" w:hanging="340"/>
      </w:pPr>
      <w:rPr>
        <w:rFonts w:hint="default"/>
        <w:color w:val="1C4483" w:themeColor="accent1"/>
      </w:rPr>
    </w:lvl>
    <w:lvl w:ilvl="1">
      <w:start w:val="1"/>
      <w:numFmt w:val="lowerLetter"/>
      <w:lvlText w:val="%2"/>
      <w:lvlJc w:val="left"/>
      <w:pPr>
        <w:ind w:left="680" w:hanging="340"/>
      </w:pPr>
      <w:rPr>
        <w:rFonts w:hint="default"/>
        <w:color w:val="1C4483" w:themeColor="accent1"/>
      </w:rPr>
    </w:lvl>
    <w:lvl w:ilvl="2">
      <w:start w:val="1"/>
      <w:numFmt w:val="lowerRoman"/>
      <w:lvlText w:val="%3"/>
      <w:lvlJc w:val="left"/>
      <w:pPr>
        <w:ind w:left="1021" w:hanging="341"/>
      </w:pPr>
      <w:rPr>
        <w:rFonts w:hint="default"/>
        <w:color w:val="1C4483"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4" w15:restartNumberingAfterBreak="0">
    <w:nsid w:val="376723A4"/>
    <w:multiLevelType w:val="multilevel"/>
    <w:tmpl w:val="7254858E"/>
    <w:lvl w:ilvl="0">
      <w:start w:val="1"/>
      <w:numFmt w:val="decimal"/>
      <w:lvlText w:val="%1"/>
      <w:lvlJc w:val="left"/>
      <w:pPr>
        <w:ind w:left="340" w:hanging="340"/>
      </w:pPr>
      <w:rPr>
        <w:rFonts w:hint="default"/>
        <w:b w:val="0"/>
        <w:i w:val="0"/>
        <w:sz w:val="20"/>
      </w:rPr>
    </w:lvl>
    <w:lvl w:ilvl="1">
      <w:start w:val="1"/>
      <w:numFmt w:val="lowerLetter"/>
      <w:lvlText w:val="%2"/>
      <w:lvlJc w:val="left"/>
      <w:pPr>
        <w:ind w:left="680" w:hanging="340"/>
      </w:pPr>
      <w:rPr>
        <w:rFonts w:hint="default"/>
        <w:b w:val="0"/>
        <w:i w:val="0"/>
        <w:sz w:val="20"/>
      </w:rPr>
    </w:lvl>
    <w:lvl w:ilvl="2">
      <w:start w:val="1"/>
      <w:numFmt w:val="lowerRoman"/>
      <w:lvlText w:val="%3"/>
      <w:lvlJc w:val="right"/>
      <w:pPr>
        <w:ind w:left="1021" w:hanging="341"/>
      </w:pPr>
      <w:rPr>
        <w:rFonts w:hint="default"/>
        <w:b w:val="0"/>
        <w:i w:val="0"/>
        <w:sz w:val="20"/>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3DBE5503"/>
    <w:multiLevelType w:val="multilevel"/>
    <w:tmpl w:val="B942B65C"/>
    <w:lvl w:ilvl="0">
      <w:start w:val="1"/>
      <w:numFmt w:val="upperLetter"/>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FF13E44"/>
    <w:multiLevelType w:val="multilevel"/>
    <w:tmpl w:val="BDFAA078"/>
    <w:lvl w:ilvl="0">
      <w:start w:val="1"/>
      <w:numFmt w:val="upperLetter"/>
      <w:lvlText w:val="Appendix %1"/>
      <w:lvlJc w:val="left"/>
      <w:pPr>
        <w:ind w:left="0" w:firstLine="0"/>
      </w:pPr>
      <w:rPr>
        <w:rFonts w:hint="default"/>
        <w:b w:val="0"/>
        <w:i w:val="0"/>
        <w:color w:val="25282A" w:themeColor="text2"/>
        <w:sz w:val="40"/>
        <w:szCs w:val="36"/>
      </w:rPr>
    </w:lvl>
    <w:lvl w:ilvl="1">
      <w:start w:val="1"/>
      <w:numFmt w:val="decimal"/>
      <w:lvlText w:val="%1.%2"/>
      <w:lvlJc w:val="left"/>
      <w:pPr>
        <w:ind w:left="1021" w:hanging="1021"/>
      </w:pPr>
      <w:rPr>
        <w:rFonts w:hint="default"/>
        <w:b w:val="0"/>
        <w:i w:val="0"/>
        <w:color w:val="25282A" w:themeColor="text2"/>
        <w:sz w:val="36"/>
        <w:szCs w:val="32"/>
      </w:rPr>
    </w:lvl>
    <w:lvl w:ilvl="2">
      <w:start w:val="1"/>
      <w:numFmt w:val="decimal"/>
      <w:lvlText w:val="%1.%2.%3"/>
      <w:lvlJc w:val="left"/>
      <w:pPr>
        <w:ind w:left="1191" w:hanging="1191"/>
      </w:pPr>
      <w:rPr>
        <w:rFonts w:hint="default"/>
        <w:b w:val="0"/>
        <w:i w:val="0"/>
        <w:color w:val="25282A" w:themeColor="text2"/>
        <w:sz w:val="32"/>
        <w:szCs w:val="28"/>
      </w:rPr>
    </w:lvl>
    <w:lvl w:ilvl="3">
      <w:start w:val="1"/>
      <w:numFmt w:val="decimal"/>
      <w:lvlText w:val="%1.%2.%3.%4."/>
      <w:lvlJc w:val="left"/>
      <w:pPr>
        <w:ind w:left="1728" w:hanging="648"/>
      </w:pPr>
      <w:rPr>
        <w:rFonts w:hint="default"/>
        <w:color w:val="25282A" w:themeColor="text2"/>
      </w:rPr>
    </w:lvl>
    <w:lvl w:ilvl="4">
      <w:start w:val="1"/>
      <w:numFmt w:val="decimal"/>
      <w:lvlText w:val="%1.%2.%3.%4.%5."/>
      <w:lvlJc w:val="left"/>
      <w:pPr>
        <w:ind w:left="2232" w:hanging="792"/>
      </w:pPr>
      <w:rPr>
        <w:rFonts w:hint="default"/>
        <w:color w:val="25282A" w:themeColor="text2"/>
      </w:rPr>
    </w:lvl>
    <w:lvl w:ilvl="5">
      <w:start w:val="1"/>
      <w:numFmt w:val="decimal"/>
      <w:lvlText w:val="%1.%2.%3.%4.%5.%6."/>
      <w:lvlJc w:val="left"/>
      <w:pPr>
        <w:ind w:left="2736" w:hanging="936"/>
      </w:pPr>
      <w:rPr>
        <w:rFonts w:hint="default"/>
        <w:color w:val="25282A" w:themeColor="text2"/>
      </w:rPr>
    </w:lvl>
    <w:lvl w:ilvl="6">
      <w:start w:val="1"/>
      <w:numFmt w:val="decimal"/>
      <w:lvlText w:val="%1.%2.%3.%4.%5.%6.%7."/>
      <w:lvlJc w:val="left"/>
      <w:pPr>
        <w:ind w:left="3240" w:hanging="1080"/>
      </w:pPr>
      <w:rPr>
        <w:rFonts w:hint="default"/>
        <w:b w:val="0"/>
        <w:i w:val="0"/>
        <w:color w:val="1C4483" w:themeColor="accent1"/>
        <w:sz w:val="22"/>
      </w:rPr>
    </w:lvl>
    <w:lvl w:ilvl="7">
      <w:start w:val="1"/>
      <w:numFmt w:val="decimal"/>
      <w:lvlText w:val="%1.%2.%3.%4.%5.%6.%7.%8."/>
      <w:lvlJc w:val="left"/>
      <w:pPr>
        <w:ind w:left="3744" w:hanging="1224"/>
      </w:pPr>
      <w:rPr>
        <w:rFonts w:hint="default"/>
        <w:b w:val="0"/>
        <w:i w:val="0"/>
        <w:color w:val="1C4483" w:themeColor="accent1"/>
        <w:sz w:val="22"/>
      </w:rPr>
    </w:lvl>
    <w:lvl w:ilvl="8">
      <w:start w:val="1"/>
      <w:numFmt w:val="decimal"/>
      <w:lvlText w:val="%1.%2.%3.%4.%5.%6.%7.%8.%9."/>
      <w:lvlJc w:val="left"/>
      <w:pPr>
        <w:ind w:left="4320" w:hanging="1440"/>
      </w:pPr>
      <w:rPr>
        <w:rFonts w:hint="default"/>
        <w:b w:val="0"/>
        <w:i w:val="0"/>
        <w:color w:val="1C4483" w:themeColor="accent1"/>
        <w:sz w:val="22"/>
      </w:rPr>
    </w:lvl>
  </w:abstractNum>
  <w:abstractNum w:abstractNumId="17" w15:restartNumberingAfterBreak="0">
    <w:nsid w:val="42A62A7C"/>
    <w:multiLevelType w:val="hybridMultilevel"/>
    <w:tmpl w:val="1124F0E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8" w15:restartNumberingAfterBreak="0">
    <w:nsid w:val="44802F0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9D835B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5BB205BE"/>
    <w:multiLevelType w:val="multilevel"/>
    <w:tmpl w:val="96FCADC0"/>
    <w:lvl w:ilvl="0">
      <w:start w:val="1"/>
      <w:numFmt w:val="decimal"/>
      <w:pStyle w:val="TableNumbering1"/>
      <w:lvlText w:val="%1"/>
      <w:lvlJc w:val="left"/>
      <w:pPr>
        <w:ind w:left="340" w:hanging="340"/>
      </w:pPr>
      <w:rPr>
        <w:rFonts w:asciiTheme="minorHAnsi" w:hAnsiTheme="minorHAnsi" w:hint="default"/>
      </w:rPr>
    </w:lvl>
    <w:lvl w:ilvl="1">
      <w:start w:val="1"/>
      <w:numFmt w:val="lowerLetter"/>
      <w:pStyle w:val="TableNumbering2"/>
      <w:lvlText w:val="%2"/>
      <w:lvlJc w:val="left"/>
      <w:pPr>
        <w:ind w:left="680" w:hanging="340"/>
      </w:pPr>
      <w:rPr>
        <w:rFonts w:asciiTheme="minorHAnsi" w:hAnsiTheme="minorHAnsi" w:hint="default"/>
      </w:rPr>
    </w:lvl>
    <w:lvl w:ilvl="2">
      <w:start w:val="1"/>
      <w:numFmt w:val="lowerRoman"/>
      <w:pStyle w:val="TableNumbering3"/>
      <w:lvlText w:val="%3"/>
      <w:lvlJc w:val="left"/>
      <w:pPr>
        <w:ind w:left="1021" w:hanging="341"/>
      </w:pPr>
      <w:rPr>
        <w:rFonts w:asciiTheme="minorHAnsi" w:hAnsiTheme="minorHAns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DA834A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64D508BE"/>
    <w:multiLevelType w:val="multilevel"/>
    <w:tmpl w:val="B1B2A2BC"/>
    <w:lvl w:ilvl="0">
      <w:start w:val="1"/>
      <w:numFmt w:val="upperLetter"/>
      <w:pStyle w:val="AppendixHeading1"/>
      <w:lvlText w:val="Appendix %1"/>
      <w:lvlJc w:val="left"/>
      <w:pPr>
        <w:ind w:left="1985" w:hanging="1985"/>
      </w:pPr>
      <w:rPr>
        <w:rFonts w:asciiTheme="majorHAnsi" w:hAnsiTheme="majorHAnsi" w:hint="default"/>
        <w:b w:val="0"/>
        <w:i w:val="0"/>
        <w:color w:val="1C4483" w:themeColor="accent1"/>
        <w:sz w:val="32"/>
        <w:szCs w:val="36"/>
      </w:rPr>
    </w:lvl>
    <w:lvl w:ilvl="1">
      <w:start w:val="1"/>
      <w:numFmt w:val="decimal"/>
      <w:pStyle w:val="AppendixHeading2"/>
      <w:lvlText w:val="%1.%2"/>
      <w:lvlJc w:val="left"/>
      <w:pPr>
        <w:ind w:left="1134" w:hanging="1134"/>
      </w:pPr>
      <w:rPr>
        <w:rFonts w:hint="default"/>
        <w:b w:val="0"/>
        <w:i w:val="0"/>
        <w:color w:val="1C4483" w:themeColor="accent1"/>
        <w:sz w:val="28"/>
        <w:szCs w:val="32"/>
      </w:rPr>
    </w:lvl>
    <w:lvl w:ilvl="2">
      <w:start w:val="1"/>
      <w:numFmt w:val="decimal"/>
      <w:pStyle w:val="AppendixHeading3"/>
      <w:lvlText w:val="%1.%2.%3"/>
      <w:lvlJc w:val="left"/>
      <w:pPr>
        <w:ind w:left="1134" w:hanging="1134"/>
      </w:pPr>
      <w:rPr>
        <w:rFonts w:hint="default"/>
        <w:b w:val="0"/>
        <w:i w:val="0"/>
        <w:color w:val="00A2E2" w:themeColor="accent2"/>
        <w:sz w:val="26"/>
        <w:szCs w:val="28"/>
      </w:rPr>
    </w:lvl>
    <w:lvl w:ilvl="3">
      <w:start w:val="1"/>
      <w:numFmt w:val="none"/>
      <w:suff w:val="nothing"/>
      <w:lvlText w:val=""/>
      <w:lvlJc w:val="left"/>
      <w:pPr>
        <w:ind w:left="0" w:firstLine="0"/>
      </w:pPr>
      <w:rPr>
        <w:rFonts w:hint="default"/>
        <w:color w:val="25282A" w:themeColor="text2"/>
      </w:rPr>
    </w:lvl>
    <w:lvl w:ilvl="4">
      <w:start w:val="1"/>
      <w:numFmt w:val="none"/>
      <w:suff w:val="nothing"/>
      <w:lvlText w:val=""/>
      <w:lvlJc w:val="left"/>
      <w:pPr>
        <w:ind w:left="0" w:firstLine="0"/>
      </w:pPr>
      <w:rPr>
        <w:rFonts w:hint="default"/>
        <w:color w:val="25282A" w:themeColor="text2"/>
      </w:rPr>
    </w:lvl>
    <w:lvl w:ilvl="5">
      <w:start w:val="1"/>
      <w:numFmt w:val="none"/>
      <w:suff w:val="nothing"/>
      <w:lvlText w:val=""/>
      <w:lvlJc w:val="left"/>
      <w:pPr>
        <w:ind w:left="0" w:firstLine="0"/>
      </w:pPr>
      <w:rPr>
        <w:rFonts w:hint="default"/>
        <w:color w:val="25282A" w:themeColor="text2"/>
      </w:rPr>
    </w:lvl>
    <w:lvl w:ilvl="6">
      <w:start w:val="1"/>
      <w:numFmt w:val="none"/>
      <w:suff w:val="nothing"/>
      <w:lvlText w:val=""/>
      <w:lvlJc w:val="left"/>
      <w:pPr>
        <w:ind w:left="0" w:firstLine="0"/>
      </w:pPr>
      <w:rPr>
        <w:rFonts w:hint="default"/>
        <w:b w:val="0"/>
        <w:i w:val="0"/>
        <w:color w:val="1C4483" w:themeColor="accent1"/>
        <w:sz w:val="22"/>
      </w:rPr>
    </w:lvl>
    <w:lvl w:ilvl="7">
      <w:start w:val="1"/>
      <w:numFmt w:val="none"/>
      <w:suff w:val="nothing"/>
      <w:lvlText w:val=""/>
      <w:lvlJc w:val="left"/>
      <w:pPr>
        <w:ind w:left="0" w:firstLine="0"/>
      </w:pPr>
      <w:rPr>
        <w:rFonts w:hint="default"/>
        <w:b w:val="0"/>
        <w:i w:val="0"/>
        <w:color w:val="1C4483" w:themeColor="accent1"/>
        <w:sz w:val="22"/>
      </w:rPr>
    </w:lvl>
    <w:lvl w:ilvl="8">
      <w:start w:val="1"/>
      <w:numFmt w:val="none"/>
      <w:suff w:val="nothing"/>
      <w:lvlText w:val=""/>
      <w:lvlJc w:val="left"/>
      <w:pPr>
        <w:ind w:left="0" w:firstLine="0"/>
      </w:pPr>
      <w:rPr>
        <w:rFonts w:hint="default"/>
        <w:b w:val="0"/>
        <w:i w:val="0"/>
        <w:color w:val="1C4483" w:themeColor="accent1"/>
        <w:sz w:val="22"/>
      </w:rPr>
    </w:lvl>
  </w:abstractNum>
  <w:abstractNum w:abstractNumId="23" w15:restartNumberingAfterBreak="0">
    <w:nsid w:val="694B3042"/>
    <w:multiLevelType w:val="multilevel"/>
    <w:tmpl w:val="5F92E1F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C4483" w:themeColor="accent1"/>
      </w:rPr>
    </w:lvl>
    <w:lvl w:ilvl="2">
      <w:start w:val="1"/>
      <w:numFmt w:val="lowerLetter"/>
      <w:lvlText w:val="%3"/>
      <w:lvlJc w:val="left"/>
      <w:pPr>
        <w:ind w:left="680" w:hanging="340"/>
      </w:pPr>
      <w:rPr>
        <w:rFonts w:hint="default"/>
        <w:color w:val="1C4483" w:themeColor="accent1"/>
      </w:rPr>
    </w:lvl>
    <w:lvl w:ilvl="3">
      <w:start w:val="1"/>
      <w:numFmt w:val="lowerRoman"/>
      <w:lvlText w:val="%4"/>
      <w:lvlJc w:val="left"/>
      <w:pPr>
        <w:ind w:left="1021" w:hanging="341"/>
      </w:pPr>
      <w:rPr>
        <w:rFonts w:hint="default"/>
        <w:color w:val="1C4483"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4" w15:restartNumberingAfterBreak="0">
    <w:nsid w:val="6FF67ADD"/>
    <w:multiLevelType w:val="multilevel"/>
    <w:tmpl w:val="EFD2FCCA"/>
    <w:lvl w:ilvl="0">
      <w:start w:val="1"/>
      <w:numFmt w:val="bullet"/>
      <w:pStyle w:val="BodyBullet1"/>
      <w:lvlText w:val=""/>
      <w:lvlJc w:val="left"/>
      <w:pPr>
        <w:ind w:left="340" w:hanging="340"/>
      </w:pPr>
      <w:rPr>
        <w:rFonts w:ascii="Symbol" w:hAnsi="Symbol" w:hint="default"/>
        <w:b w:val="0"/>
        <w:i w:val="0"/>
        <w:color w:val="1C4483" w:themeColor="accent1"/>
        <w:sz w:val="22"/>
      </w:rPr>
    </w:lvl>
    <w:lvl w:ilvl="1">
      <w:start w:val="1"/>
      <w:numFmt w:val="bullet"/>
      <w:pStyle w:val="BodyBullet2"/>
      <w:lvlText w:val="–"/>
      <w:lvlJc w:val="left"/>
      <w:pPr>
        <w:ind w:left="680" w:hanging="340"/>
      </w:pPr>
      <w:rPr>
        <w:rFonts w:hint="default"/>
        <w:b w:val="0"/>
        <w:i w:val="0"/>
        <w:color w:val="1C4483" w:themeColor="accent1"/>
        <w:sz w:val="22"/>
      </w:rPr>
    </w:lvl>
    <w:lvl w:ilvl="2">
      <w:start w:val="1"/>
      <w:numFmt w:val="bullet"/>
      <w:pStyle w:val="BodyBullet3"/>
      <w:lvlText w:val="-"/>
      <w:lvlJc w:val="left"/>
      <w:pPr>
        <w:ind w:left="1020" w:hanging="340"/>
      </w:pPr>
      <w:rPr>
        <w:rFonts w:hint="default"/>
        <w:b w:val="0"/>
        <w:i w:val="0"/>
        <w:color w:val="1C4483" w:themeColor="accent1"/>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1C4483"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5" w15:restartNumberingAfterBreak="0">
    <w:nsid w:val="72B84207"/>
    <w:multiLevelType w:val="multilevel"/>
    <w:tmpl w:val="8F20669A"/>
    <w:lvl w:ilvl="0">
      <w:start w:val="1"/>
      <w:numFmt w:val="bullet"/>
      <w:lvlText w:val=""/>
      <w:lvlJc w:val="left"/>
      <w:pPr>
        <w:ind w:left="340" w:hanging="340"/>
      </w:pPr>
      <w:rPr>
        <w:rFonts w:ascii="Symbol" w:hAnsi="Symbol" w:hint="default"/>
        <w:b w:val="0"/>
        <w:i w:val="0"/>
        <w:color w:val="000000" w:themeColor="text1"/>
        <w:sz w:val="18"/>
      </w:rPr>
    </w:lvl>
    <w:lvl w:ilvl="1">
      <w:start w:val="1"/>
      <w:numFmt w:val="bullet"/>
      <w:lvlText w:val="–"/>
      <w:lvlJc w:val="left"/>
      <w:pPr>
        <w:ind w:left="680" w:hanging="340"/>
      </w:pPr>
      <w:rPr>
        <w:rFonts w:hint="default"/>
        <w:b w:val="0"/>
        <w:i w:val="0"/>
        <w:color w:val="000000" w:themeColor="text1"/>
        <w:sz w:val="18"/>
      </w:rPr>
    </w:lvl>
    <w:lvl w:ilvl="2">
      <w:start w:val="1"/>
      <w:numFmt w:val="bullet"/>
      <w:lvlText w:val="-"/>
      <w:lvlJc w:val="left"/>
      <w:pPr>
        <w:ind w:left="1020" w:hanging="340"/>
      </w:pPr>
      <w:rPr>
        <w:rFonts w:hint="default"/>
        <w:b w:val="0"/>
        <w:i w:val="0"/>
        <w:color w:val="000000" w:themeColor="text1"/>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26" w15:restartNumberingAfterBreak="0">
    <w:nsid w:val="75CF5E10"/>
    <w:multiLevelType w:val="multilevel"/>
    <w:tmpl w:val="4080E324"/>
    <w:lvl w:ilvl="0">
      <w:start w:val="5"/>
      <w:numFmt w:val="upperLetter"/>
      <w:pStyle w:val="Heading1"/>
      <w:lvlText w:val="%1"/>
      <w:lvlJc w:val="right"/>
      <w:pPr>
        <w:tabs>
          <w:tab w:val="num" w:pos="0"/>
        </w:tabs>
        <w:ind w:left="0" w:firstLine="0"/>
      </w:pPr>
      <w:rPr>
        <w:rFonts w:hint="default"/>
        <w:color w:val="FFFFFF" w:themeColor="background1"/>
      </w:rPr>
    </w:lvl>
    <w:lvl w:ilvl="1">
      <w:start w:val="19"/>
      <w:numFmt w:val="upperLetter"/>
      <w:pStyle w:val="Heading2"/>
      <w:lvlText w:val="%1%2"/>
      <w:lvlJc w:val="right"/>
      <w:pPr>
        <w:tabs>
          <w:tab w:val="num" w:pos="851"/>
        </w:tabs>
        <w:ind w:left="851" w:hanging="851"/>
      </w:pPr>
      <w:rPr>
        <w:rFonts w:hint="default"/>
        <w:color w:val="FFFFFF" w:themeColor="background1"/>
      </w:rPr>
    </w:lvl>
    <w:lvl w:ilvl="2">
      <w:start w:val="1"/>
      <w:numFmt w:val="decimal"/>
      <w:pStyle w:val="Heading3"/>
      <w:lvlText w:val="%1%2.%3"/>
      <w:lvlJc w:val="left"/>
      <w:pPr>
        <w:tabs>
          <w:tab w:val="num" w:pos="1701"/>
        </w:tabs>
        <w:ind w:left="1701" w:hanging="1701"/>
      </w:pPr>
      <w:rPr>
        <w:rFonts w:asciiTheme="majorHAnsi" w:hAnsiTheme="majorHAnsi" w:hint="default"/>
        <w:color w:val="1C4483" w:themeColor="accent1"/>
      </w:rPr>
    </w:lvl>
    <w:lvl w:ilvl="3">
      <w:start w:val="1"/>
      <w:numFmt w:val="decimal"/>
      <w:pStyle w:val="Heading4"/>
      <w:lvlText w:val="%1%2.%3.%4"/>
      <w:lvlJc w:val="left"/>
      <w:pPr>
        <w:ind w:left="1701" w:hanging="1701"/>
      </w:pPr>
      <w:rPr>
        <w:rFonts w:hint="default"/>
        <w:color w:val="1C4483" w:themeColor="accent1"/>
      </w:rPr>
    </w:lvl>
    <w:lvl w:ilvl="4">
      <w:start w:val="1"/>
      <w:numFmt w:val="none"/>
      <w:pStyle w:val="Heading5"/>
      <w:suff w:val="nothing"/>
      <w:lvlText w:val=""/>
      <w:lvlJc w:val="left"/>
      <w:pPr>
        <w:ind w:left="0" w:firstLine="0"/>
      </w:pPr>
      <w:rPr>
        <w:rFonts w:asciiTheme="majorHAnsi" w:hAnsiTheme="majorHAnsi" w:hint="default"/>
        <w:color w:val="25282A" w:themeColor="text2"/>
      </w:rPr>
    </w:lvl>
    <w:lvl w:ilvl="5">
      <w:start w:val="1"/>
      <w:numFmt w:val="none"/>
      <w:pStyle w:val="Heading6"/>
      <w:suff w:val="nothing"/>
      <w:lvlText w:val=""/>
      <w:lvlJc w:val="left"/>
      <w:pPr>
        <w:ind w:left="0" w:firstLine="0"/>
      </w:pPr>
      <w:rPr>
        <w:rFonts w:asciiTheme="majorHAnsi" w:hAnsiTheme="majorHAnsi" w:hint="default"/>
        <w:color w:val="25282A" w:themeColor="text2"/>
      </w:rPr>
    </w:lvl>
    <w:lvl w:ilvl="6">
      <w:start w:val="1"/>
      <w:numFmt w:val="decimal"/>
      <w:pStyle w:val="BodyNumbering1"/>
      <w:lvlText w:val="%7"/>
      <w:lvlJc w:val="left"/>
      <w:pPr>
        <w:ind w:left="340" w:hanging="340"/>
      </w:pPr>
      <w:rPr>
        <w:rFonts w:asciiTheme="minorHAnsi" w:hAnsiTheme="minorHAnsi" w:hint="default"/>
        <w:color w:val="25282A" w:themeColor="text2"/>
      </w:rPr>
    </w:lvl>
    <w:lvl w:ilvl="7">
      <w:start w:val="1"/>
      <w:numFmt w:val="lowerLetter"/>
      <w:pStyle w:val="BodyNumbering2"/>
      <w:lvlText w:val="%8"/>
      <w:lvlJc w:val="left"/>
      <w:pPr>
        <w:ind w:left="680" w:hanging="340"/>
      </w:pPr>
      <w:rPr>
        <w:rFonts w:asciiTheme="minorHAnsi" w:hAnsiTheme="minorHAnsi" w:hint="default"/>
        <w:color w:val="25282A" w:themeColor="text2"/>
      </w:rPr>
    </w:lvl>
    <w:lvl w:ilvl="8">
      <w:start w:val="1"/>
      <w:numFmt w:val="lowerRoman"/>
      <w:pStyle w:val="BodyNumbering3"/>
      <w:lvlText w:val="%9"/>
      <w:lvlJc w:val="right"/>
      <w:pPr>
        <w:ind w:left="1021" w:hanging="284"/>
      </w:pPr>
      <w:rPr>
        <w:rFonts w:hint="default"/>
        <w:color w:val="25282A" w:themeColor="text2"/>
      </w:rPr>
    </w:lvl>
  </w:abstractNum>
  <w:abstractNum w:abstractNumId="27" w15:restartNumberingAfterBreak="0">
    <w:nsid w:val="78E3007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1"/>
  </w:num>
  <w:num w:numId="2">
    <w:abstractNumId w:val="7"/>
  </w:num>
  <w:num w:numId="3">
    <w:abstractNumId w:val="6"/>
  </w:num>
  <w:num w:numId="4">
    <w:abstractNumId w:val="8"/>
  </w:num>
  <w:num w:numId="5">
    <w:abstractNumId w:val="3"/>
  </w:num>
  <w:num w:numId="6">
    <w:abstractNumId w:val="2"/>
  </w:num>
  <w:num w:numId="7">
    <w:abstractNumId w:val="16"/>
  </w:num>
  <w:num w:numId="8">
    <w:abstractNumId w:val="5"/>
  </w:num>
  <w:num w:numId="9">
    <w:abstractNumId w:val="4"/>
  </w:num>
  <w:num w:numId="10">
    <w:abstractNumId w:val="1"/>
  </w:num>
  <w:num w:numId="11">
    <w:abstractNumId w:val="0"/>
  </w:num>
  <w:num w:numId="12">
    <w:abstractNumId w:val="24"/>
  </w:num>
  <w:num w:numId="13">
    <w:abstractNumId w:val="24"/>
    <w:lvlOverride w:ilvl="0">
      <w:lvl w:ilvl="0">
        <w:start w:val="1"/>
        <w:numFmt w:val="bullet"/>
        <w:pStyle w:val="BodyBullet1"/>
        <w:lvlText w:val=""/>
        <w:lvlJc w:val="left"/>
        <w:pPr>
          <w:ind w:left="340" w:hanging="340"/>
        </w:pPr>
        <w:rPr>
          <w:rFonts w:ascii="Symbol" w:hAnsi="Symbol" w:hint="default"/>
          <w:b w:val="0"/>
          <w:i w:val="0"/>
          <w:color w:val="auto"/>
        </w:rPr>
      </w:lvl>
    </w:lvlOverride>
    <w:lvlOverride w:ilvl="1">
      <w:lvl w:ilvl="1">
        <w:start w:val="1"/>
        <w:numFmt w:val="bullet"/>
        <w:pStyle w:val="BodyBullet2"/>
        <w:lvlText w:val=""/>
        <w:lvlJc w:val="left"/>
        <w:pPr>
          <w:ind w:left="680" w:hanging="340"/>
        </w:pPr>
        <w:rPr>
          <w:rFonts w:ascii="Symbol" w:hAnsi="Symbol" w:hint="default"/>
          <w:b w:val="0"/>
          <w:i w:val="0"/>
          <w:color w:val="auto"/>
        </w:rPr>
      </w:lvl>
    </w:lvlOverride>
    <w:lvlOverride w:ilvl="2">
      <w:lvl w:ilvl="2">
        <w:start w:val="1"/>
        <w:numFmt w:val="bullet"/>
        <w:pStyle w:val="BodyBullet3"/>
        <w:lvlText w:val=""/>
        <w:lvlJc w:val="left"/>
        <w:pPr>
          <w:ind w:left="1020" w:hanging="340"/>
        </w:pPr>
        <w:rPr>
          <w:rFonts w:ascii="Symbol" w:hAnsi="Symbol" w:hint="default"/>
          <w:b w:val="0"/>
          <w:i w:val="0"/>
          <w:color w:val="auto"/>
        </w:rPr>
      </w:lvl>
    </w:lvlOverride>
    <w:lvlOverride w:ilvl="3">
      <w:lvl w:ilvl="3">
        <w:start w:val="1"/>
        <w:numFmt w:val="bullet"/>
        <w:lvlText w:val=""/>
        <w:lvlJc w:val="left"/>
        <w:pPr>
          <w:ind w:left="340" w:hanging="340"/>
        </w:pPr>
        <w:rPr>
          <w:rFonts w:ascii="Symbol" w:hAnsi="Symbol" w:hint="default"/>
          <w:color w:val="auto"/>
        </w:rPr>
      </w:lvl>
    </w:lvlOverride>
    <w:lvlOverride w:ilvl="4">
      <w:lvl w:ilvl="4">
        <w:start w:val="1"/>
        <w:numFmt w:val="bullet"/>
        <w:lvlText w:val=""/>
        <w:lvlJc w:val="left"/>
        <w:pPr>
          <w:ind w:left="680" w:hanging="340"/>
        </w:pPr>
        <w:rPr>
          <w:rFonts w:ascii="Symbol" w:hAnsi="Symbol" w:hint="default"/>
          <w:color w:val="auto"/>
        </w:rPr>
      </w:lvl>
    </w:lvlOverride>
    <w:lvlOverride w:ilvl="5">
      <w:lvl w:ilvl="5">
        <w:start w:val="1"/>
        <w:numFmt w:val="none"/>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4">
    <w:abstractNumId w:val="24"/>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lvlText w:val=""/>
        <w:lvlJc w:val="left"/>
        <w:pPr>
          <w:ind w:left="340" w:hanging="340"/>
        </w:pPr>
        <w:rPr>
          <w:rFonts w:ascii="Symbol" w:hAnsi="Symbol" w:hint="default"/>
          <w:color w:val="auto"/>
        </w:rPr>
      </w:lvl>
    </w:lvlOverride>
    <w:lvlOverride w:ilvl="4">
      <w:lvl w:ilvl="4">
        <w:start w:val="1"/>
        <w:numFmt w:val="bullet"/>
        <w:lvlText w:val=""/>
        <w:lvlJc w:val="left"/>
        <w:pPr>
          <w:ind w:left="680" w:hanging="340"/>
        </w:pPr>
        <w:rPr>
          <w:rFonts w:ascii="Symbol" w:hAnsi="Symbol" w:hint="default"/>
          <w:color w:val="auto"/>
        </w:rPr>
      </w:lvl>
    </w:lvlOverride>
    <w:lvlOverride w:ilvl="5">
      <w:lvl w:ilvl="5">
        <w:start w:val="1"/>
        <w:numFmt w:val="none"/>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5">
    <w:abstractNumId w:val="15"/>
  </w:num>
  <w:num w:numId="16">
    <w:abstractNumId w:val="9"/>
  </w:num>
  <w:num w:numId="17">
    <w:abstractNumId w:val="16"/>
  </w:num>
  <w:num w:numId="18">
    <w:abstractNumId w:val="16"/>
  </w:num>
  <w:num w:numId="19">
    <w:abstractNumId w:val="18"/>
  </w:num>
  <w:num w:numId="20">
    <w:abstractNumId w:val="27"/>
  </w:num>
  <w:num w:numId="21">
    <w:abstractNumId w:val="19"/>
  </w:num>
  <w:num w:numId="22">
    <w:abstractNumId w:val="13"/>
  </w:num>
  <w:num w:numId="23">
    <w:abstractNumId w:val="12"/>
  </w:num>
  <w:num w:numId="24">
    <w:abstractNumId w:val="10"/>
  </w:num>
  <w:num w:numId="25">
    <w:abstractNumId w:val="23"/>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num>
  <w:num w:numId="28">
    <w:abstractNumId w:val="26"/>
    <w:lvlOverride w:ilvl="0">
      <w:lvl w:ilvl="0">
        <w:start w:val="1"/>
        <w:numFmt w:val="decimal"/>
        <w:pStyle w:val="Heading1"/>
        <w:lvlText w:val="%1"/>
        <w:lvlJc w:val="left"/>
        <w:pPr>
          <w:ind w:left="851" w:hanging="851"/>
        </w:pPr>
        <w:rPr>
          <w:rFonts w:hint="default"/>
          <w:color w:val="25282A" w:themeColor="text2"/>
        </w:rPr>
      </w:lvl>
    </w:lvlOverride>
    <w:lvlOverride w:ilvl="1">
      <w:lvl w:ilvl="1">
        <w:start w:val="1"/>
        <w:numFmt w:val="decimal"/>
        <w:lvlRestart w:val="0"/>
        <w:pStyle w:val="Heading2"/>
        <w:isLgl/>
        <w:lvlText w:val="%1.%2"/>
        <w:lvlJc w:val="left"/>
        <w:pPr>
          <w:ind w:left="851" w:hanging="851"/>
        </w:pPr>
        <w:rPr>
          <w:rFonts w:hint="default"/>
          <w:color w:val="25282A" w:themeColor="text2"/>
        </w:rPr>
      </w:lvl>
    </w:lvlOverride>
    <w:lvlOverride w:ilvl="2">
      <w:lvl w:ilvl="2">
        <w:start w:val="1"/>
        <w:numFmt w:val="decimal"/>
        <w:lvlRestart w:val="0"/>
        <w:pStyle w:val="Heading3"/>
        <w:isLgl/>
        <w:lvlText w:val="%1.%2.%3"/>
        <w:lvlJc w:val="left"/>
        <w:pPr>
          <w:ind w:left="1021" w:hanging="1021"/>
        </w:pPr>
        <w:rPr>
          <w:rFonts w:hint="default"/>
          <w:color w:val="25282A" w:themeColor="text2"/>
        </w:rPr>
      </w:lvl>
    </w:lvlOverride>
    <w:lvlOverride w:ilvl="3">
      <w:lvl w:ilvl="3">
        <w:start w:val="1"/>
        <w:numFmt w:val="none"/>
        <w:lvlRestart w:val="0"/>
        <w:pStyle w:val="Heading4"/>
        <w:suff w:val="nothing"/>
        <w:lvlText w:val=""/>
        <w:lvlJc w:val="left"/>
        <w:pPr>
          <w:ind w:left="0" w:firstLine="0"/>
        </w:pPr>
        <w:rPr>
          <w:rFonts w:hint="default"/>
        </w:rPr>
      </w:lvl>
    </w:lvlOverride>
    <w:lvlOverride w:ilvl="4">
      <w:lvl w:ilvl="4">
        <w:start w:val="1"/>
        <w:numFmt w:val="none"/>
        <w:lvlRestart w:val="0"/>
        <w:pStyle w:val="Heading5"/>
        <w:suff w:val="nothing"/>
        <w:lvlText w:val=""/>
        <w:lvlJc w:val="left"/>
        <w:pPr>
          <w:ind w:left="0" w:firstLine="0"/>
        </w:pPr>
        <w:rPr>
          <w:rFonts w:hint="default"/>
        </w:rPr>
      </w:lvl>
    </w:lvlOverride>
    <w:lvlOverride w:ilvl="5">
      <w:lvl w:ilvl="5">
        <w:start w:val="1"/>
        <w:numFmt w:val="none"/>
        <w:lvlRestart w:val="0"/>
        <w:pStyle w:val="Heading6"/>
        <w:suff w:val="nothing"/>
        <w:lvlText w:val=""/>
        <w:lvlJc w:val="left"/>
        <w:pPr>
          <w:ind w:left="0" w:firstLine="0"/>
        </w:pPr>
        <w:rPr>
          <w:rFonts w:hint="default"/>
        </w:rPr>
      </w:lvl>
    </w:lvlOverride>
    <w:lvlOverride w:ilvl="6">
      <w:lvl w:ilvl="6">
        <w:start w:val="1"/>
        <w:numFmt w:val="decimal"/>
        <w:pStyle w:val="BodyNumbering1"/>
        <w:lvlText w:val="%7"/>
        <w:lvlJc w:val="left"/>
        <w:pPr>
          <w:ind w:left="340" w:hanging="340"/>
        </w:pPr>
        <w:rPr>
          <w:rFonts w:hint="default"/>
          <w:color w:val="1C4483" w:themeColor="accent1"/>
        </w:rPr>
      </w:lvl>
    </w:lvlOverride>
    <w:lvlOverride w:ilvl="7">
      <w:lvl w:ilvl="7">
        <w:start w:val="1"/>
        <w:numFmt w:val="lowerLetter"/>
        <w:pStyle w:val="BodyNumbering2"/>
        <w:lvlText w:val="%8"/>
        <w:lvlJc w:val="left"/>
        <w:pPr>
          <w:ind w:left="680" w:hanging="340"/>
        </w:pPr>
        <w:rPr>
          <w:rFonts w:hint="default"/>
          <w:color w:val="1C4483" w:themeColor="accent1"/>
        </w:rPr>
      </w:lvl>
    </w:lvlOverride>
    <w:lvlOverride w:ilvl="8">
      <w:lvl w:ilvl="8">
        <w:start w:val="1"/>
        <w:numFmt w:val="lowerRoman"/>
        <w:pStyle w:val="BodyNumbering3"/>
        <w:lvlText w:val="%9"/>
        <w:lvlJc w:val="left"/>
        <w:pPr>
          <w:ind w:left="1021" w:hanging="341"/>
        </w:pPr>
        <w:rPr>
          <w:rFonts w:hint="default"/>
          <w:color w:val="1C4483" w:themeColor="accent1"/>
        </w:rPr>
      </w:lvl>
    </w:lvlOverride>
  </w:num>
  <w:num w:numId="29">
    <w:abstractNumId w:val="21"/>
  </w:num>
  <w:num w:numId="30">
    <w:abstractNumId w:val="25"/>
  </w:num>
  <w:num w:numId="31">
    <w:abstractNumId w:val="20"/>
  </w:num>
  <w:num w:numId="32">
    <w:abstractNumId w:val="26"/>
    <w:lvlOverride w:ilvl="0">
      <w:lvl w:ilvl="0">
        <w:start w:val="1"/>
        <w:numFmt w:val="decimal"/>
        <w:pStyle w:val="Heading1"/>
        <w:lvlText w:val="%1"/>
        <w:lvlJc w:val="right"/>
        <w:pPr>
          <w:tabs>
            <w:tab w:val="num" w:pos="284"/>
          </w:tabs>
          <w:ind w:left="0" w:firstLine="284"/>
        </w:pPr>
        <w:rPr>
          <w:rFonts w:asciiTheme="majorHAnsi" w:hAnsiTheme="majorHAnsi" w:hint="default"/>
          <w:color w:val="1D4582"/>
        </w:rPr>
      </w:lvl>
    </w:lvlOverride>
    <w:lvlOverride w:ilvl="1">
      <w:lvl w:ilvl="1">
        <w:start w:val="1"/>
        <w:numFmt w:val="decimal"/>
        <w:pStyle w:val="Heading2"/>
        <w:lvlText w:val="%1.%2"/>
        <w:lvlJc w:val="right"/>
        <w:pPr>
          <w:tabs>
            <w:tab w:val="num" w:pos="284"/>
          </w:tabs>
          <w:ind w:left="0" w:firstLine="284"/>
        </w:pPr>
        <w:rPr>
          <w:rFonts w:asciiTheme="majorHAnsi" w:hAnsiTheme="majorHAnsi" w:hint="default"/>
          <w:color w:val="25282A" w:themeColor="text2"/>
        </w:rPr>
      </w:lvl>
    </w:lvlOverride>
    <w:lvlOverride w:ilvl="2">
      <w:lvl w:ilvl="2">
        <w:start w:val="1"/>
        <w:numFmt w:val="decimal"/>
        <w:pStyle w:val="Heading3"/>
        <w:lvlText w:val="%1.%2.%3"/>
        <w:lvlJc w:val="right"/>
        <w:pPr>
          <w:ind w:left="0" w:firstLine="284"/>
        </w:pPr>
        <w:rPr>
          <w:rFonts w:asciiTheme="majorHAnsi" w:hAnsiTheme="majorHAnsi" w:hint="default"/>
          <w:color w:val="25282A" w:themeColor="text2"/>
        </w:rPr>
      </w:lvl>
    </w:lvlOverride>
    <w:lvlOverride w:ilvl="3">
      <w:lvl w:ilvl="3">
        <w:start w:val="1"/>
        <w:numFmt w:val="decimal"/>
        <w:pStyle w:val="Heading4"/>
        <w:lvlText w:val="%1.%2.%3.%4"/>
        <w:lvlJc w:val="right"/>
        <w:pPr>
          <w:ind w:left="0" w:firstLine="0"/>
        </w:pPr>
        <w:rPr>
          <w:rFonts w:asciiTheme="majorHAnsi" w:hAnsiTheme="majorHAnsi" w:hint="default"/>
          <w:color w:val="25282A" w:themeColor="text2"/>
        </w:rPr>
      </w:lvl>
    </w:lvlOverride>
    <w:lvlOverride w:ilvl="4">
      <w:lvl w:ilvl="4">
        <w:start w:val="1"/>
        <w:numFmt w:val="none"/>
        <w:pStyle w:val="Heading5"/>
        <w:suff w:val="nothing"/>
        <w:lvlText w:val=""/>
        <w:lvlJc w:val="left"/>
        <w:pPr>
          <w:ind w:left="0" w:firstLine="0"/>
        </w:pPr>
        <w:rPr>
          <w:rFonts w:asciiTheme="majorHAnsi" w:hAnsiTheme="majorHAnsi" w:hint="default"/>
          <w:color w:val="25282A" w:themeColor="text2"/>
        </w:rPr>
      </w:lvl>
    </w:lvlOverride>
    <w:lvlOverride w:ilvl="5">
      <w:lvl w:ilvl="5">
        <w:start w:val="1"/>
        <w:numFmt w:val="none"/>
        <w:pStyle w:val="Heading6"/>
        <w:lvlText w:val=""/>
        <w:lvlJc w:val="left"/>
        <w:pPr>
          <w:ind w:left="0" w:firstLine="0"/>
        </w:pPr>
        <w:rPr>
          <w:rFonts w:asciiTheme="majorHAnsi" w:hAnsiTheme="majorHAnsi" w:hint="default"/>
          <w:color w:val="25282A" w:themeColor="text2"/>
        </w:rPr>
      </w:lvl>
    </w:lvlOverride>
    <w:lvlOverride w:ilvl="6">
      <w:lvl w:ilvl="6">
        <w:start w:val="1"/>
        <w:numFmt w:val="decimal"/>
        <w:pStyle w:val="BodyNumbering1"/>
        <w:lvlText w:val="%7"/>
        <w:lvlJc w:val="left"/>
        <w:pPr>
          <w:ind w:left="340" w:hanging="340"/>
        </w:pPr>
        <w:rPr>
          <w:rFonts w:asciiTheme="minorHAnsi" w:hAnsiTheme="minorHAnsi" w:hint="default"/>
          <w:color w:val="25282A" w:themeColor="text2"/>
        </w:rPr>
      </w:lvl>
    </w:lvlOverride>
    <w:lvlOverride w:ilvl="7">
      <w:lvl w:ilvl="7">
        <w:start w:val="1"/>
        <w:numFmt w:val="lowerLetter"/>
        <w:pStyle w:val="BodyNumbering2"/>
        <w:lvlText w:val="%8"/>
        <w:lvlJc w:val="left"/>
        <w:pPr>
          <w:ind w:left="680" w:hanging="340"/>
        </w:pPr>
        <w:rPr>
          <w:rFonts w:asciiTheme="minorHAnsi" w:hAnsiTheme="minorHAnsi" w:hint="default"/>
          <w:color w:val="25282A" w:themeColor="text2"/>
        </w:rPr>
      </w:lvl>
    </w:lvlOverride>
    <w:lvlOverride w:ilvl="8">
      <w:lvl w:ilvl="8">
        <w:start w:val="1"/>
        <w:numFmt w:val="lowerRoman"/>
        <w:pStyle w:val="BodyNumbering3"/>
        <w:lvlText w:val="%9"/>
        <w:lvlJc w:val="right"/>
        <w:pPr>
          <w:ind w:left="1021" w:hanging="284"/>
        </w:pPr>
        <w:rPr>
          <w:rFonts w:hint="default"/>
          <w:color w:val="25282A" w:themeColor="text2"/>
        </w:rPr>
      </w:lvl>
    </w:lvlOverride>
  </w:num>
  <w:num w:numId="33">
    <w:abstractNumId w:val="22"/>
  </w:num>
  <w:num w:numId="34">
    <w:abstractNumId w:val="22"/>
  </w:num>
  <w:num w:numId="35">
    <w:abstractNumId w:val="22"/>
  </w:num>
  <w:num w:numId="36">
    <w:abstractNumId w:val="26"/>
    <w:lvlOverride w:ilvl="0">
      <w:startOverride w:val="1"/>
    </w:lvlOverride>
    <w:lvlOverride w:ilvl="1">
      <w:startOverride w:val="1"/>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6"/>
    <w:lvlOverride w:ilvl="0">
      <w:startOverride w:val="5"/>
    </w:lvlOverride>
    <w:lvlOverride w:ilvl="1">
      <w:startOverride w:val="1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6"/>
    <w:lvlOverride w:ilvl="0">
      <w:startOverride w:val="5"/>
    </w:lvlOverride>
    <w:lvlOverride w:ilvl="1">
      <w:startOverride w:val="1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6"/>
    <w:lvlOverride w:ilvl="0">
      <w:lvl w:ilvl="0">
        <w:start w:val="5"/>
        <w:numFmt w:val="upperLetter"/>
        <w:pStyle w:val="Heading1"/>
        <w:lvlText w:val="%1"/>
        <w:lvlJc w:val="right"/>
        <w:pPr>
          <w:tabs>
            <w:tab w:val="num" w:pos="0"/>
          </w:tabs>
          <w:ind w:left="0" w:firstLine="0"/>
        </w:pPr>
        <w:rPr>
          <w:rFonts w:hint="default"/>
          <w:color w:val="FFFFFF" w:themeColor="background1"/>
        </w:rPr>
      </w:lvl>
    </w:lvlOverride>
    <w:lvlOverride w:ilvl="1">
      <w:lvl w:ilvl="1">
        <w:start w:val="19"/>
        <w:numFmt w:val="upperLetter"/>
        <w:pStyle w:val="Heading2"/>
        <w:lvlText w:val="%1%2"/>
        <w:lvlJc w:val="left"/>
        <w:pPr>
          <w:tabs>
            <w:tab w:val="num" w:pos="1134"/>
          </w:tabs>
          <w:ind w:left="1134" w:hanging="1134"/>
        </w:pPr>
        <w:rPr>
          <w:rFonts w:hint="default"/>
          <w:color w:val="FFFFFF" w:themeColor="background1"/>
        </w:rPr>
      </w:lvl>
    </w:lvlOverride>
    <w:lvlOverride w:ilvl="2">
      <w:lvl w:ilvl="2">
        <w:start w:val="1"/>
        <w:numFmt w:val="decimal"/>
        <w:pStyle w:val="Heading3"/>
        <w:lvlText w:val="%1%2.%3"/>
        <w:lvlJc w:val="left"/>
        <w:pPr>
          <w:tabs>
            <w:tab w:val="num" w:pos="1701"/>
          </w:tabs>
          <w:ind w:left="1701" w:hanging="1701"/>
        </w:pPr>
        <w:rPr>
          <w:rFonts w:asciiTheme="majorHAnsi" w:hAnsiTheme="majorHAnsi" w:hint="default"/>
          <w:color w:val="1C4483" w:themeColor="accent1"/>
        </w:rPr>
      </w:lvl>
    </w:lvlOverride>
    <w:lvlOverride w:ilvl="3">
      <w:lvl w:ilvl="3">
        <w:start w:val="1"/>
        <w:numFmt w:val="decimal"/>
        <w:pStyle w:val="Heading4"/>
        <w:lvlText w:val="%1%2.%3.%4"/>
        <w:lvlJc w:val="left"/>
        <w:pPr>
          <w:ind w:left="1701" w:hanging="1701"/>
        </w:pPr>
        <w:rPr>
          <w:rFonts w:hint="default"/>
          <w:color w:val="1C4483" w:themeColor="accent1"/>
        </w:rPr>
      </w:lvl>
    </w:lvlOverride>
    <w:lvlOverride w:ilvl="4">
      <w:lvl w:ilvl="4">
        <w:start w:val="1"/>
        <w:numFmt w:val="none"/>
        <w:pStyle w:val="Heading5"/>
        <w:suff w:val="nothing"/>
        <w:lvlText w:val=""/>
        <w:lvlJc w:val="left"/>
        <w:pPr>
          <w:ind w:left="0" w:firstLine="0"/>
        </w:pPr>
        <w:rPr>
          <w:rFonts w:asciiTheme="majorHAnsi" w:hAnsiTheme="majorHAnsi" w:hint="default"/>
          <w:color w:val="25282A" w:themeColor="text2"/>
        </w:rPr>
      </w:lvl>
    </w:lvlOverride>
    <w:lvlOverride w:ilvl="5">
      <w:lvl w:ilvl="5">
        <w:start w:val="1"/>
        <w:numFmt w:val="none"/>
        <w:pStyle w:val="Heading6"/>
        <w:suff w:val="nothing"/>
        <w:lvlText w:val=""/>
        <w:lvlJc w:val="left"/>
        <w:pPr>
          <w:ind w:left="0" w:firstLine="0"/>
        </w:pPr>
        <w:rPr>
          <w:rFonts w:asciiTheme="majorHAnsi" w:hAnsiTheme="majorHAnsi" w:hint="default"/>
          <w:color w:val="25282A" w:themeColor="text2"/>
        </w:rPr>
      </w:lvl>
    </w:lvlOverride>
    <w:lvlOverride w:ilvl="6">
      <w:lvl w:ilvl="6">
        <w:start w:val="1"/>
        <w:numFmt w:val="decimal"/>
        <w:pStyle w:val="BodyNumbering1"/>
        <w:lvlText w:val="%7"/>
        <w:lvlJc w:val="left"/>
        <w:pPr>
          <w:ind w:left="340" w:hanging="340"/>
        </w:pPr>
        <w:rPr>
          <w:rFonts w:asciiTheme="minorHAnsi" w:hAnsiTheme="minorHAnsi" w:hint="default"/>
          <w:color w:val="25282A" w:themeColor="text2"/>
        </w:rPr>
      </w:lvl>
    </w:lvlOverride>
    <w:lvlOverride w:ilvl="7">
      <w:lvl w:ilvl="7">
        <w:start w:val="1"/>
        <w:numFmt w:val="lowerLetter"/>
        <w:pStyle w:val="BodyNumbering2"/>
        <w:lvlText w:val="%8"/>
        <w:lvlJc w:val="left"/>
        <w:pPr>
          <w:ind w:left="680" w:hanging="340"/>
        </w:pPr>
        <w:rPr>
          <w:rFonts w:asciiTheme="minorHAnsi" w:hAnsiTheme="minorHAnsi" w:hint="default"/>
          <w:color w:val="25282A" w:themeColor="text2"/>
        </w:rPr>
      </w:lvl>
    </w:lvlOverride>
    <w:lvlOverride w:ilvl="8">
      <w:lvl w:ilvl="8">
        <w:start w:val="1"/>
        <w:numFmt w:val="lowerRoman"/>
        <w:pStyle w:val="BodyNumbering3"/>
        <w:lvlText w:val="%9"/>
        <w:lvlJc w:val="right"/>
        <w:pPr>
          <w:ind w:left="1021" w:hanging="284"/>
        </w:pPr>
        <w:rPr>
          <w:rFonts w:hint="default"/>
          <w:color w:val="25282A" w:themeColor="text2"/>
        </w:rPr>
      </w:lvl>
    </w:lvlOverride>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stylePaneSortMethod w:val="0000"/>
  <w:documentProtection w:formatting="1" w:enforcement="1"/>
  <w:styleLockTheme/>
  <w:defaultTabStop w:val="720"/>
  <w:evenAndOddHeaders/>
  <w:characterSpacingControl w:val="doNotCompress"/>
  <w:hdrShapeDefaults>
    <o:shapedefaults v:ext="edit" spidmax="655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7258"/>
    <w:rsid w:val="0000066F"/>
    <w:rsid w:val="00000EC1"/>
    <w:rsid w:val="00001DD9"/>
    <w:rsid w:val="00002B5C"/>
    <w:rsid w:val="00003622"/>
    <w:rsid w:val="00010BCE"/>
    <w:rsid w:val="00013139"/>
    <w:rsid w:val="00013C24"/>
    <w:rsid w:val="00014A01"/>
    <w:rsid w:val="00014F1E"/>
    <w:rsid w:val="00016F19"/>
    <w:rsid w:val="00017047"/>
    <w:rsid w:val="0001769E"/>
    <w:rsid w:val="000207CF"/>
    <w:rsid w:val="000208B9"/>
    <w:rsid w:val="00021CEC"/>
    <w:rsid w:val="00021FC6"/>
    <w:rsid w:val="0002237E"/>
    <w:rsid w:val="00023787"/>
    <w:rsid w:val="00025963"/>
    <w:rsid w:val="000267FC"/>
    <w:rsid w:val="00027A10"/>
    <w:rsid w:val="00027AFC"/>
    <w:rsid w:val="00030198"/>
    <w:rsid w:val="000303C6"/>
    <w:rsid w:val="0003047D"/>
    <w:rsid w:val="00035088"/>
    <w:rsid w:val="00036C14"/>
    <w:rsid w:val="00037D07"/>
    <w:rsid w:val="0004094D"/>
    <w:rsid w:val="00041D9C"/>
    <w:rsid w:val="00044695"/>
    <w:rsid w:val="00045C28"/>
    <w:rsid w:val="00046089"/>
    <w:rsid w:val="0004776D"/>
    <w:rsid w:val="00047F4F"/>
    <w:rsid w:val="00050AF0"/>
    <w:rsid w:val="00053ED4"/>
    <w:rsid w:val="0005514C"/>
    <w:rsid w:val="00057FA4"/>
    <w:rsid w:val="00060706"/>
    <w:rsid w:val="00062E5B"/>
    <w:rsid w:val="000639E5"/>
    <w:rsid w:val="00063EED"/>
    <w:rsid w:val="00064639"/>
    <w:rsid w:val="0006514B"/>
    <w:rsid w:val="000653C7"/>
    <w:rsid w:val="00065452"/>
    <w:rsid w:val="00070A2B"/>
    <w:rsid w:val="00075157"/>
    <w:rsid w:val="0007561D"/>
    <w:rsid w:val="0007669C"/>
    <w:rsid w:val="00080123"/>
    <w:rsid w:val="000801AC"/>
    <w:rsid w:val="00081694"/>
    <w:rsid w:val="00081ED6"/>
    <w:rsid w:val="00083077"/>
    <w:rsid w:val="00083A6C"/>
    <w:rsid w:val="00086335"/>
    <w:rsid w:val="00087408"/>
    <w:rsid w:val="00090AA3"/>
    <w:rsid w:val="00092C0D"/>
    <w:rsid w:val="00093082"/>
    <w:rsid w:val="000934F7"/>
    <w:rsid w:val="00094ECF"/>
    <w:rsid w:val="00095E7F"/>
    <w:rsid w:val="000A247E"/>
    <w:rsid w:val="000A2DFD"/>
    <w:rsid w:val="000A4DFB"/>
    <w:rsid w:val="000A554C"/>
    <w:rsid w:val="000A5911"/>
    <w:rsid w:val="000A5951"/>
    <w:rsid w:val="000A5D0D"/>
    <w:rsid w:val="000A661C"/>
    <w:rsid w:val="000B085B"/>
    <w:rsid w:val="000B2940"/>
    <w:rsid w:val="000B4CA2"/>
    <w:rsid w:val="000B585C"/>
    <w:rsid w:val="000B5B9F"/>
    <w:rsid w:val="000B5D48"/>
    <w:rsid w:val="000B7555"/>
    <w:rsid w:val="000C0031"/>
    <w:rsid w:val="000C2020"/>
    <w:rsid w:val="000C2DBD"/>
    <w:rsid w:val="000C3E7B"/>
    <w:rsid w:val="000C4409"/>
    <w:rsid w:val="000C59DE"/>
    <w:rsid w:val="000C5AB3"/>
    <w:rsid w:val="000C6688"/>
    <w:rsid w:val="000C71F4"/>
    <w:rsid w:val="000C739C"/>
    <w:rsid w:val="000C7A90"/>
    <w:rsid w:val="000D16A5"/>
    <w:rsid w:val="000D255B"/>
    <w:rsid w:val="000D3A6C"/>
    <w:rsid w:val="000D4620"/>
    <w:rsid w:val="000D4CE8"/>
    <w:rsid w:val="000D5B94"/>
    <w:rsid w:val="000D7A29"/>
    <w:rsid w:val="000D7AFD"/>
    <w:rsid w:val="000D7CAF"/>
    <w:rsid w:val="000E0829"/>
    <w:rsid w:val="000E0B71"/>
    <w:rsid w:val="000E0D55"/>
    <w:rsid w:val="000E0DC4"/>
    <w:rsid w:val="000E1DAB"/>
    <w:rsid w:val="000E1F0E"/>
    <w:rsid w:val="000E2483"/>
    <w:rsid w:val="000E445E"/>
    <w:rsid w:val="000E5D64"/>
    <w:rsid w:val="000E6AD4"/>
    <w:rsid w:val="000F060A"/>
    <w:rsid w:val="000F0A26"/>
    <w:rsid w:val="000F0CDA"/>
    <w:rsid w:val="000F2147"/>
    <w:rsid w:val="000F2552"/>
    <w:rsid w:val="000F2617"/>
    <w:rsid w:val="000F2A6C"/>
    <w:rsid w:val="000F3410"/>
    <w:rsid w:val="000F3515"/>
    <w:rsid w:val="000F42C0"/>
    <w:rsid w:val="000F43BE"/>
    <w:rsid w:val="000F5477"/>
    <w:rsid w:val="000F6123"/>
    <w:rsid w:val="000F655E"/>
    <w:rsid w:val="000F65AF"/>
    <w:rsid w:val="001028DC"/>
    <w:rsid w:val="00103580"/>
    <w:rsid w:val="00103A4A"/>
    <w:rsid w:val="001078E8"/>
    <w:rsid w:val="00111EAA"/>
    <w:rsid w:val="001130DB"/>
    <w:rsid w:val="00113B39"/>
    <w:rsid w:val="00114DD9"/>
    <w:rsid w:val="001152EA"/>
    <w:rsid w:val="0011570F"/>
    <w:rsid w:val="00116DDF"/>
    <w:rsid w:val="00117B0A"/>
    <w:rsid w:val="00120813"/>
    <w:rsid w:val="00120DCF"/>
    <w:rsid w:val="00120DF1"/>
    <w:rsid w:val="00122FCC"/>
    <w:rsid w:val="00123162"/>
    <w:rsid w:val="001234E9"/>
    <w:rsid w:val="001240B9"/>
    <w:rsid w:val="00124A1C"/>
    <w:rsid w:val="001278E1"/>
    <w:rsid w:val="0012791D"/>
    <w:rsid w:val="00132065"/>
    <w:rsid w:val="001320D7"/>
    <w:rsid w:val="0013218F"/>
    <w:rsid w:val="001331C9"/>
    <w:rsid w:val="00141296"/>
    <w:rsid w:val="00142291"/>
    <w:rsid w:val="001432E2"/>
    <w:rsid w:val="00144BBA"/>
    <w:rsid w:val="0014525F"/>
    <w:rsid w:val="00145593"/>
    <w:rsid w:val="001472CB"/>
    <w:rsid w:val="00147E56"/>
    <w:rsid w:val="00150CF8"/>
    <w:rsid w:val="00150F46"/>
    <w:rsid w:val="00151193"/>
    <w:rsid w:val="00153351"/>
    <w:rsid w:val="00153CF5"/>
    <w:rsid w:val="00154D7C"/>
    <w:rsid w:val="001574D4"/>
    <w:rsid w:val="00157ECB"/>
    <w:rsid w:val="001611E9"/>
    <w:rsid w:val="001618C4"/>
    <w:rsid w:val="0016224B"/>
    <w:rsid w:val="00163CED"/>
    <w:rsid w:val="001668AB"/>
    <w:rsid w:val="00172168"/>
    <w:rsid w:val="00172886"/>
    <w:rsid w:val="00173811"/>
    <w:rsid w:val="00174337"/>
    <w:rsid w:val="00174C76"/>
    <w:rsid w:val="00174E12"/>
    <w:rsid w:val="00175254"/>
    <w:rsid w:val="00175B24"/>
    <w:rsid w:val="0017712E"/>
    <w:rsid w:val="001775A3"/>
    <w:rsid w:val="00181925"/>
    <w:rsid w:val="00181A7E"/>
    <w:rsid w:val="001839A1"/>
    <w:rsid w:val="00186FB1"/>
    <w:rsid w:val="00192972"/>
    <w:rsid w:val="00192F51"/>
    <w:rsid w:val="0019472B"/>
    <w:rsid w:val="0019593B"/>
    <w:rsid w:val="00196EC8"/>
    <w:rsid w:val="001976D2"/>
    <w:rsid w:val="00197EFB"/>
    <w:rsid w:val="001A181E"/>
    <w:rsid w:val="001A284A"/>
    <w:rsid w:val="001A3181"/>
    <w:rsid w:val="001A4CC3"/>
    <w:rsid w:val="001A75E1"/>
    <w:rsid w:val="001A76AF"/>
    <w:rsid w:val="001B30F7"/>
    <w:rsid w:val="001B4565"/>
    <w:rsid w:val="001B4DF5"/>
    <w:rsid w:val="001B515C"/>
    <w:rsid w:val="001B7703"/>
    <w:rsid w:val="001C1A26"/>
    <w:rsid w:val="001C1E5B"/>
    <w:rsid w:val="001C31E6"/>
    <w:rsid w:val="001C45FF"/>
    <w:rsid w:val="001C5EC2"/>
    <w:rsid w:val="001C6171"/>
    <w:rsid w:val="001C6A62"/>
    <w:rsid w:val="001D10A6"/>
    <w:rsid w:val="001D15FC"/>
    <w:rsid w:val="001D25DA"/>
    <w:rsid w:val="001D3B17"/>
    <w:rsid w:val="001D5299"/>
    <w:rsid w:val="001D5F37"/>
    <w:rsid w:val="001D6464"/>
    <w:rsid w:val="001D6F2D"/>
    <w:rsid w:val="001E013A"/>
    <w:rsid w:val="001E10F6"/>
    <w:rsid w:val="001E11E4"/>
    <w:rsid w:val="001E128F"/>
    <w:rsid w:val="001E2899"/>
    <w:rsid w:val="001E2ADE"/>
    <w:rsid w:val="001E2C40"/>
    <w:rsid w:val="001E331D"/>
    <w:rsid w:val="001E3ABC"/>
    <w:rsid w:val="001E4DEF"/>
    <w:rsid w:val="001E51CA"/>
    <w:rsid w:val="001E7FC7"/>
    <w:rsid w:val="001F1C5C"/>
    <w:rsid w:val="001F36F5"/>
    <w:rsid w:val="001F38E8"/>
    <w:rsid w:val="001F3F88"/>
    <w:rsid w:val="001F4DC3"/>
    <w:rsid w:val="001F571B"/>
    <w:rsid w:val="001F64AB"/>
    <w:rsid w:val="001F6561"/>
    <w:rsid w:val="001F6DF9"/>
    <w:rsid w:val="001F76EB"/>
    <w:rsid w:val="002021BF"/>
    <w:rsid w:val="00204A6F"/>
    <w:rsid w:val="00204EE2"/>
    <w:rsid w:val="00205594"/>
    <w:rsid w:val="00207206"/>
    <w:rsid w:val="0020772C"/>
    <w:rsid w:val="00207FB7"/>
    <w:rsid w:val="00212BA8"/>
    <w:rsid w:val="00213233"/>
    <w:rsid w:val="00213EDF"/>
    <w:rsid w:val="00216752"/>
    <w:rsid w:val="00217987"/>
    <w:rsid w:val="00220CDD"/>
    <w:rsid w:val="00222DEB"/>
    <w:rsid w:val="002241D6"/>
    <w:rsid w:val="00224E65"/>
    <w:rsid w:val="00225140"/>
    <w:rsid w:val="0023045C"/>
    <w:rsid w:val="00230CF8"/>
    <w:rsid w:val="00231721"/>
    <w:rsid w:val="002331E5"/>
    <w:rsid w:val="00235475"/>
    <w:rsid w:val="00236DE0"/>
    <w:rsid w:val="00237A77"/>
    <w:rsid w:val="0024199C"/>
    <w:rsid w:val="002438D7"/>
    <w:rsid w:val="0024419D"/>
    <w:rsid w:val="0024669A"/>
    <w:rsid w:val="00247065"/>
    <w:rsid w:val="002500AE"/>
    <w:rsid w:val="0025023D"/>
    <w:rsid w:val="002536C3"/>
    <w:rsid w:val="00253B4A"/>
    <w:rsid w:val="0025542C"/>
    <w:rsid w:val="002561AD"/>
    <w:rsid w:val="002569DD"/>
    <w:rsid w:val="0025787E"/>
    <w:rsid w:val="002609FD"/>
    <w:rsid w:val="002613AF"/>
    <w:rsid w:val="00261F88"/>
    <w:rsid w:val="0026402E"/>
    <w:rsid w:val="00265073"/>
    <w:rsid w:val="00267445"/>
    <w:rsid w:val="0026757E"/>
    <w:rsid w:val="002719B1"/>
    <w:rsid w:val="0027245C"/>
    <w:rsid w:val="00274057"/>
    <w:rsid w:val="00276150"/>
    <w:rsid w:val="00277ABE"/>
    <w:rsid w:val="00277AF5"/>
    <w:rsid w:val="002811F9"/>
    <w:rsid w:val="00281BBF"/>
    <w:rsid w:val="00282B57"/>
    <w:rsid w:val="00283B87"/>
    <w:rsid w:val="002867A7"/>
    <w:rsid w:val="00290210"/>
    <w:rsid w:val="00292D2A"/>
    <w:rsid w:val="00292FEF"/>
    <w:rsid w:val="0029345C"/>
    <w:rsid w:val="00294420"/>
    <w:rsid w:val="00294914"/>
    <w:rsid w:val="0029614E"/>
    <w:rsid w:val="002A007D"/>
    <w:rsid w:val="002A05B1"/>
    <w:rsid w:val="002A4AF1"/>
    <w:rsid w:val="002A6F1A"/>
    <w:rsid w:val="002B282F"/>
    <w:rsid w:val="002B488F"/>
    <w:rsid w:val="002B4B77"/>
    <w:rsid w:val="002B65E9"/>
    <w:rsid w:val="002B6EF0"/>
    <w:rsid w:val="002C1713"/>
    <w:rsid w:val="002C2990"/>
    <w:rsid w:val="002C4956"/>
    <w:rsid w:val="002C555F"/>
    <w:rsid w:val="002C57BC"/>
    <w:rsid w:val="002C6392"/>
    <w:rsid w:val="002C7A39"/>
    <w:rsid w:val="002D1CB1"/>
    <w:rsid w:val="002D2130"/>
    <w:rsid w:val="002D22B9"/>
    <w:rsid w:val="002D310F"/>
    <w:rsid w:val="002D3A61"/>
    <w:rsid w:val="002D552B"/>
    <w:rsid w:val="002D6BA2"/>
    <w:rsid w:val="002D7AA2"/>
    <w:rsid w:val="002E0392"/>
    <w:rsid w:val="002E0987"/>
    <w:rsid w:val="002E2BC7"/>
    <w:rsid w:val="002E3267"/>
    <w:rsid w:val="002E3E20"/>
    <w:rsid w:val="002E4C32"/>
    <w:rsid w:val="002E6F57"/>
    <w:rsid w:val="002F098F"/>
    <w:rsid w:val="002F12AE"/>
    <w:rsid w:val="002F15F0"/>
    <w:rsid w:val="002F160A"/>
    <w:rsid w:val="002F1FFE"/>
    <w:rsid w:val="002F2808"/>
    <w:rsid w:val="002F30E8"/>
    <w:rsid w:val="002F4504"/>
    <w:rsid w:val="002F4826"/>
    <w:rsid w:val="002F7A2C"/>
    <w:rsid w:val="00302352"/>
    <w:rsid w:val="00302B94"/>
    <w:rsid w:val="00302F49"/>
    <w:rsid w:val="00304ADE"/>
    <w:rsid w:val="00305B07"/>
    <w:rsid w:val="00307271"/>
    <w:rsid w:val="003103FD"/>
    <w:rsid w:val="003108F5"/>
    <w:rsid w:val="003109B3"/>
    <w:rsid w:val="00312040"/>
    <w:rsid w:val="0031364F"/>
    <w:rsid w:val="00313C80"/>
    <w:rsid w:val="00314821"/>
    <w:rsid w:val="00315A49"/>
    <w:rsid w:val="00315FBA"/>
    <w:rsid w:val="00320991"/>
    <w:rsid w:val="00320D25"/>
    <w:rsid w:val="00321B47"/>
    <w:rsid w:val="00322BFF"/>
    <w:rsid w:val="00323E9D"/>
    <w:rsid w:val="0032592C"/>
    <w:rsid w:val="00333151"/>
    <w:rsid w:val="0033435B"/>
    <w:rsid w:val="00335809"/>
    <w:rsid w:val="003365C1"/>
    <w:rsid w:val="0033715C"/>
    <w:rsid w:val="0033738D"/>
    <w:rsid w:val="0033751A"/>
    <w:rsid w:val="00340835"/>
    <w:rsid w:val="00341E0F"/>
    <w:rsid w:val="00344BFD"/>
    <w:rsid w:val="003461B7"/>
    <w:rsid w:val="003476C0"/>
    <w:rsid w:val="003504E7"/>
    <w:rsid w:val="003524A6"/>
    <w:rsid w:val="00352AA4"/>
    <w:rsid w:val="00353BBB"/>
    <w:rsid w:val="003544A4"/>
    <w:rsid w:val="003546FD"/>
    <w:rsid w:val="003547C0"/>
    <w:rsid w:val="00355BCD"/>
    <w:rsid w:val="00355C68"/>
    <w:rsid w:val="00355FA4"/>
    <w:rsid w:val="003565B0"/>
    <w:rsid w:val="00356F63"/>
    <w:rsid w:val="003602D7"/>
    <w:rsid w:val="0036083B"/>
    <w:rsid w:val="00360B53"/>
    <w:rsid w:val="003634E5"/>
    <w:rsid w:val="0036633D"/>
    <w:rsid w:val="00367B9F"/>
    <w:rsid w:val="00370C55"/>
    <w:rsid w:val="003727C6"/>
    <w:rsid w:val="003738FB"/>
    <w:rsid w:val="003759DA"/>
    <w:rsid w:val="00375E98"/>
    <w:rsid w:val="00376061"/>
    <w:rsid w:val="0037677C"/>
    <w:rsid w:val="00377F14"/>
    <w:rsid w:val="0038031B"/>
    <w:rsid w:val="00380F3F"/>
    <w:rsid w:val="00382518"/>
    <w:rsid w:val="00383BEB"/>
    <w:rsid w:val="00390A09"/>
    <w:rsid w:val="00390E2D"/>
    <w:rsid w:val="00393047"/>
    <w:rsid w:val="003953F9"/>
    <w:rsid w:val="0039754E"/>
    <w:rsid w:val="003975FE"/>
    <w:rsid w:val="003A004E"/>
    <w:rsid w:val="003A3039"/>
    <w:rsid w:val="003A3A68"/>
    <w:rsid w:val="003A452A"/>
    <w:rsid w:val="003A4B1E"/>
    <w:rsid w:val="003A4EFC"/>
    <w:rsid w:val="003A5B3B"/>
    <w:rsid w:val="003A6E54"/>
    <w:rsid w:val="003A7F20"/>
    <w:rsid w:val="003B1121"/>
    <w:rsid w:val="003B21EE"/>
    <w:rsid w:val="003B2660"/>
    <w:rsid w:val="003B34B4"/>
    <w:rsid w:val="003B6648"/>
    <w:rsid w:val="003B6D68"/>
    <w:rsid w:val="003C1A84"/>
    <w:rsid w:val="003C299F"/>
    <w:rsid w:val="003C5558"/>
    <w:rsid w:val="003C61E7"/>
    <w:rsid w:val="003C69CA"/>
    <w:rsid w:val="003C7558"/>
    <w:rsid w:val="003D10B7"/>
    <w:rsid w:val="003D266F"/>
    <w:rsid w:val="003D303F"/>
    <w:rsid w:val="003D5163"/>
    <w:rsid w:val="003D58A0"/>
    <w:rsid w:val="003D71C8"/>
    <w:rsid w:val="003D7E5A"/>
    <w:rsid w:val="003D7F9A"/>
    <w:rsid w:val="003E1380"/>
    <w:rsid w:val="003E15AE"/>
    <w:rsid w:val="003E1CBD"/>
    <w:rsid w:val="003E25E8"/>
    <w:rsid w:val="003F1102"/>
    <w:rsid w:val="003F1650"/>
    <w:rsid w:val="003F1CA7"/>
    <w:rsid w:val="003F420F"/>
    <w:rsid w:val="003F47AB"/>
    <w:rsid w:val="003F6A1C"/>
    <w:rsid w:val="003F7E5E"/>
    <w:rsid w:val="00400211"/>
    <w:rsid w:val="0040073E"/>
    <w:rsid w:val="00402D0A"/>
    <w:rsid w:val="00402D84"/>
    <w:rsid w:val="0040469E"/>
    <w:rsid w:val="00405331"/>
    <w:rsid w:val="00406CA3"/>
    <w:rsid w:val="00406CDC"/>
    <w:rsid w:val="004152F1"/>
    <w:rsid w:val="00415F3B"/>
    <w:rsid w:val="00417252"/>
    <w:rsid w:val="00417616"/>
    <w:rsid w:val="0042028C"/>
    <w:rsid w:val="0042310B"/>
    <w:rsid w:val="004242AE"/>
    <w:rsid w:val="00424A7C"/>
    <w:rsid w:val="004257FC"/>
    <w:rsid w:val="00426DFE"/>
    <w:rsid w:val="00427367"/>
    <w:rsid w:val="004304E3"/>
    <w:rsid w:val="00432957"/>
    <w:rsid w:val="00443EA8"/>
    <w:rsid w:val="00444EF7"/>
    <w:rsid w:val="00445489"/>
    <w:rsid w:val="004466F3"/>
    <w:rsid w:val="00446849"/>
    <w:rsid w:val="00446F27"/>
    <w:rsid w:val="00446F35"/>
    <w:rsid w:val="00447567"/>
    <w:rsid w:val="0044779F"/>
    <w:rsid w:val="00452575"/>
    <w:rsid w:val="00455F4F"/>
    <w:rsid w:val="00456204"/>
    <w:rsid w:val="00457498"/>
    <w:rsid w:val="00457CD2"/>
    <w:rsid w:val="00462270"/>
    <w:rsid w:val="00463E1E"/>
    <w:rsid w:val="00464C87"/>
    <w:rsid w:val="004655E6"/>
    <w:rsid w:val="0046681A"/>
    <w:rsid w:val="00466BDB"/>
    <w:rsid w:val="00467474"/>
    <w:rsid w:val="004700A2"/>
    <w:rsid w:val="004704B8"/>
    <w:rsid w:val="00470569"/>
    <w:rsid w:val="00472E4B"/>
    <w:rsid w:val="004733D1"/>
    <w:rsid w:val="0047403B"/>
    <w:rsid w:val="004761DC"/>
    <w:rsid w:val="00477586"/>
    <w:rsid w:val="00477850"/>
    <w:rsid w:val="00477E3F"/>
    <w:rsid w:val="00481FDD"/>
    <w:rsid w:val="00483363"/>
    <w:rsid w:val="004837F4"/>
    <w:rsid w:val="00483C20"/>
    <w:rsid w:val="00485503"/>
    <w:rsid w:val="0048580D"/>
    <w:rsid w:val="00485C9D"/>
    <w:rsid w:val="00486F0E"/>
    <w:rsid w:val="00487846"/>
    <w:rsid w:val="00495B17"/>
    <w:rsid w:val="00495EFC"/>
    <w:rsid w:val="00497842"/>
    <w:rsid w:val="004A0138"/>
    <w:rsid w:val="004A1537"/>
    <w:rsid w:val="004A1755"/>
    <w:rsid w:val="004A1A93"/>
    <w:rsid w:val="004A25A9"/>
    <w:rsid w:val="004A32BF"/>
    <w:rsid w:val="004A37B0"/>
    <w:rsid w:val="004A3F8B"/>
    <w:rsid w:val="004A505C"/>
    <w:rsid w:val="004A55F8"/>
    <w:rsid w:val="004A71F6"/>
    <w:rsid w:val="004A7EF9"/>
    <w:rsid w:val="004B02C2"/>
    <w:rsid w:val="004B4494"/>
    <w:rsid w:val="004B5969"/>
    <w:rsid w:val="004B6535"/>
    <w:rsid w:val="004B6B78"/>
    <w:rsid w:val="004B73B8"/>
    <w:rsid w:val="004C02F1"/>
    <w:rsid w:val="004C1CD1"/>
    <w:rsid w:val="004C2FF0"/>
    <w:rsid w:val="004C3157"/>
    <w:rsid w:val="004C3C0E"/>
    <w:rsid w:val="004C5028"/>
    <w:rsid w:val="004C6EBF"/>
    <w:rsid w:val="004C72D8"/>
    <w:rsid w:val="004C7931"/>
    <w:rsid w:val="004D178C"/>
    <w:rsid w:val="004D1BA9"/>
    <w:rsid w:val="004D49E7"/>
    <w:rsid w:val="004D5078"/>
    <w:rsid w:val="004D519B"/>
    <w:rsid w:val="004D51DA"/>
    <w:rsid w:val="004D56AE"/>
    <w:rsid w:val="004D5DF5"/>
    <w:rsid w:val="004D7600"/>
    <w:rsid w:val="004E0C1C"/>
    <w:rsid w:val="004E3A1F"/>
    <w:rsid w:val="004E593B"/>
    <w:rsid w:val="004F0721"/>
    <w:rsid w:val="004F4EF2"/>
    <w:rsid w:val="004F6FF0"/>
    <w:rsid w:val="004F752A"/>
    <w:rsid w:val="004F7D42"/>
    <w:rsid w:val="00500229"/>
    <w:rsid w:val="0050047C"/>
    <w:rsid w:val="005008FB"/>
    <w:rsid w:val="00501622"/>
    <w:rsid w:val="005023BD"/>
    <w:rsid w:val="0050448D"/>
    <w:rsid w:val="0050481B"/>
    <w:rsid w:val="00504BC3"/>
    <w:rsid w:val="00505DE8"/>
    <w:rsid w:val="00506AF3"/>
    <w:rsid w:val="00507661"/>
    <w:rsid w:val="00512E76"/>
    <w:rsid w:val="00514AD3"/>
    <w:rsid w:val="00514F08"/>
    <w:rsid w:val="005151D9"/>
    <w:rsid w:val="0051542F"/>
    <w:rsid w:val="00517673"/>
    <w:rsid w:val="005210AD"/>
    <w:rsid w:val="00521453"/>
    <w:rsid w:val="005217F5"/>
    <w:rsid w:val="00521CB2"/>
    <w:rsid w:val="00522A16"/>
    <w:rsid w:val="00523E7A"/>
    <w:rsid w:val="005248A1"/>
    <w:rsid w:val="00526B45"/>
    <w:rsid w:val="00526CCC"/>
    <w:rsid w:val="00530CE8"/>
    <w:rsid w:val="00533A6E"/>
    <w:rsid w:val="005344EF"/>
    <w:rsid w:val="00540437"/>
    <w:rsid w:val="00540A24"/>
    <w:rsid w:val="00541C86"/>
    <w:rsid w:val="00541CA7"/>
    <w:rsid w:val="005437A0"/>
    <w:rsid w:val="005445C3"/>
    <w:rsid w:val="0054639F"/>
    <w:rsid w:val="005469E6"/>
    <w:rsid w:val="00546B28"/>
    <w:rsid w:val="00546C0D"/>
    <w:rsid w:val="005479BA"/>
    <w:rsid w:val="005502DF"/>
    <w:rsid w:val="0055118E"/>
    <w:rsid w:val="00553022"/>
    <w:rsid w:val="00560C70"/>
    <w:rsid w:val="0056128E"/>
    <w:rsid w:val="00561EE9"/>
    <w:rsid w:val="00562578"/>
    <w:rsid w:val="00564C63"/>
    <w:rsid w:val="00564ED5"/>
    <w:rsid w:val="005667A7"/>
    <w:rsid w:val="00566DA3"/>
    <w:rsid w:val="005726F5"/>
    <w:rsid w:val="00574769"/>
    <w:rsid w:val="005769EB"/>
    <w:rsid w:val="00577500"/>
    <w:rsid w:val="00577E17"/>
    <w:rsid w:val="005804B5"/>
    <w:rsid w:val="00580D7A"/>
    <w:rsid w:val="005816A0"/>
    <w:rsid w:val="0058235E"/>
    <w:rsid w:val="00582882"/>
    <w:rsid w:val="0058367C"/>
    <w:rsid w:val="00584114"/>
    <w:rsid w:val="0058559E"/>
    <w:rsid w:val="0059004B"/>
    <w:rsid w:val="00591C81"/>
    <w:rsid w:val="00592A88"/>
    <w:rsid w:val="00593B97"/>
    <w:rsid w:val="0059442A"/>
    <w:rsid w:val="0059670F"/>
    <w:rsid w:val="0059789D"/>
    <w:rsid w:val="00597F60"/>
    <w:rsid w:val="005A14CE"/>
    <w:rsid w:val="005A15D0"/>
    <w:rsid w:val="005A1F81"/>
    <w:rsid w:val="005A252A"/>
    <w:rsid w:val="005A3C6E"/>
    <w:rsid w:val="005A3E8C"/>
    <w:rsid w:val="005A4ABD"/>
    <w:rsid w:val="005A4F3A"/>
    <w:rsid w:val="005A52E2"/>
    <w:rsid w:val="005A70AD"/>
    <w:rsid w:val="005B0F2A"/>
    <w:rsid w:val="005B1AB0"/>
    <w:rsid w:val="005B4698"/>
    <w:rsid w:val="005B4A00"/>
    <w:rsid w:val="005B7256"/>
    <w:rsid w:val="005C0108"/>
    <w:rsid w:val="005C05FB"/>
    <w:rsid w:val="005C0ABF"/>
    <w:rsid w:val="005C2F2C"/>
    <w:rsid w:val="005C305E"/>
    <w:rsid w:val="005C3AB9"/>
    <w:rsid w:val="005C3E1A"/>
    <w:rsid w:val="005C40D6"/>
    <w:rsid w:val="005C44B4"/>
    <w:rsid w:val="005C50AF"/>
    <w:rsid w:val="005C65BD"/>
    <w:rsid w:val="005D0C80"/>
    <w:rsid w:val="005D0F2D"/>
    <w:rsid w:val="005D1374"/>
    <w:rsid w:val="005D1392"/>
    <w:rsid w:val="005D3F67"/>
    <w:rsid w:val="005D4B62"/>
    <w:rsid w:val="005D5450"/>
    <w:rsid w:val="005D57B1"/>
    <w:rsid w:val="005D6F64"/>
    <w:rsid w:val="005E1010"/>
    <w:rsid w:val="005E3F1B"/>
    <w:rsid w:val="005E4091"/>
    <w:rsid w:val="005E4B51"/>
    <w:rsid w:val="005F0552"/>
    <w:rsid w:val="005F06E7"/>
    <w:rsid w:val="005F21D1"/>
    <w:rsid w:val="005F3C5E"/>
    <w:rsid w:val="005F4F6C"/>
    <w:rsid w:val="005F6D25"/>
    <w:rsid w:val="0060166E"/>
    <w:rsid w:val="00602630"/>
    <w:rsid w:val="00602D49"/>
    <w:rsid w:val="006032EB"/>
    <w:rsid w:val="00603523"/>
    <w:rsid w:val="00603A97"/>
    <w:rsid w:val="006041BF"/>
    <w:rsid w:val="0060421B"/>
    <w:rsid w:val="006067F7"/>
    <w:rsid w:val="00606B19"/>
    <w:rsid w:val="006110CD"/>
    <w:rsid w:val="00611CDB"/>
    <w:rsid w:val="00615C9A"/>
    <w:rsid w:val="006162DA"/>
    <w:rsid w:val="00616446"/>
    <w:rsid w:val="006165E2"/>
    <w:rsid w:val="006174CB"/>
    <w:rsid w:val="00617D69"/>
    <w:rsid w:val="00620023"/>
    <w:rsid w:val="00622B87"/>
    <w:rsid w:val="006234D0"/>
    <w:rsid w:val="00623BED"/>
    <w:rsid w:val="0062480D"/>
    <w:rsid w:val="006274A2"/>
    <w:rsid w:val="00632948"/>
    <w:rsid w:val="00634A6C"/>
    <w:rsid w:val="006359DD"/>
    <w:rsid w:val="00635CCF"/>
    <w:rsid w:val="00636427"/>
    <w:rsid w:val="006375C7"/>
    <w:rsid w:val="006406FD"/>
    <w:rsid w:val="00641308"/>
    <w:rsid w:val="0064197D"/>
    <w:rsid w:val="006429E8"/>
    <w:rsid w:val="00644D15"/>
    <w:rsid w:val="00646915"/>
    <w:rsid w:val="00646BE7"/>
    <w:rsid w:val="00646ECA"/>
    <w:rsid w:val="00647CBE"/>
    <w:rsid w:val="006515EA"/>
    <w:rsid w:val="006524A6"/>
    <w:rsid w:val="00653D67"/>
    <w:rsid w:val="00654459"/>
    <w:rsid w:val="00655CD5"/>
    <w:rsid w:val="0065700B"/>
    <w:rsid w:val="006607AB"/>
    <w:rsid w:val="006631EA"/>
    <w:rsid w:val="00663DFD"/>
    <w:rsid w:val="00663F1B"/>
    <w:rsid w:val="0066494C"/>
    <w:rsid w:val="00664BB6"/>
    <w:rsid w:val="00665069"/>
    <w:rsid w:val="00665386"/>
    <w:rsid w:val="0066659B"/>
    <w:rsid w:val="00667E68"/>
    <w:rsid w:val="006706F1"/>
    <w:rsid w:val="00671047"/>
    <w:rsid w:val="006711E8"/>
    <w:rsid w:val="0067178E"/>
    <w:rsid w:val="00673D3E"/>
    <w:rsid w:val="006765F2"/>
    <w:rsid w:val="00676B74"/>
    <w:rsid w:val="00681821"/>
    <w:rsid w:val="00681F55"/>
    <w:rsid w:val="0068311F"/>
    <w:rsid w:val="00683B47"/>
    <w:rsid w:val="00685655"/>
    <w:rsid w:val="006873EF"/>
    <w:rsid w:val="00690FBD"/>
    <w:rsid w:val="0069118A"/>
    <w:rsid w:val="006919CE"/>
    <w:rsid w:val="00691E3B"/>
    <w:rsid w:val="006920C8"/>
    <w:rsid w:val="006953AF"/>
    <w:rsid w:val="006A000F"/>
    <w:rsid w:val="006A041C"/>
    <w:rsid w:val="006A2B21"/>
    <w:rsid w:val="006A39BE"/>
    <w:rsid w:val="006A55C0"/>
    <w:rsid w:val="006A5BC5"/>
    <w:rsid w:val="006A606D"/>
    <w:rsid w:val="006A616C"/>
    <w:rsid w:val="006A76CA"/>
    <w:rsid w:val="006B0607"/>
    <w:rsid w:val="006B0D57"/>
    <w:rsid w:val="006B113C"/>
    <w:rsid w:val="006B310A"/>
    <w:rsid w:val="006B3813"/>
    <w:rsid w:val="006B45A6"/>
    <w:rsid w:val="006B475B"/>
    <w:rsid w:val="006B4EBB"/>
    <w:rsid w:val="006B5506"/>
    <w:rsid w:val="006B5C72"/>
    <w:rsid w:val="006C0F69"/>
    <w:rsid w:val="006C169D"/>
    <w:rsid w:val="006C360D"/>
    <w:rsid w:val="006C3C2E"/>
    <w:rsid w:val="006C6A18"/>
    <w:rsid w:val="006C6A97"/>
    <w:rsid w:val="006D1070"/>
    <w:rsid w:val="006D1AD8"/>
    <w:rsid w:val="006D28B3"/>
    <w:rsid w:val="006D2A06"/>
    <w:rsid w:val="006D41F3"/>
    <w:rsid w:val="006D4677"/>
    <w:rsid w:val="006D49AD"/>
    <w:rsid w:val="006D4E71"/>
    <w:rsid w:val="006D65DE"/>
    <w:rsid w:val="006D745A"/>
    <w:rsid w:val="006D7715"/>
    <w:rsid w:val="006E1AA6"/>
    <w:rsid w:val="006E2B12"/>
    <w:rsid w:val="006E3512"/>
    <w:rsid w:val="006E44E9"/>
    <w:rsid w:val="006E6D30"/>
    <w:rsid w:val="006E6FF6"/>
    <w:rsid w:val="006E7C63"/>
    <w:rsid w:val="006F25F2"/>
    <w:rsid w:val="006F5DE2"/>
    <w:rsid w:val="006F609D"/>
    <w:rsid w:val="006F7967"/>
    <w:rsid w:val="00702A2A"/>
    <w:rsid w:val="00702EE7"/>
    <w:rsid w:val="00702F7E"/>
    <w:rsid w:val="00704314"/>
    <w:rsid w:val="0070496E"/>
    <w:rsid w:val="00711873"/>
    <w:rsid w:val="00711895"/>
    <w:rsid w:val="00712AC5"/>
    <w:rsid w:val="00715BAA"/>
    <w:rsid w:val="0072195F"/>
    <w:rsid w:val="00721A8F"/>
    <w:rsid w:val="007234F3"/>
    <w:rsid w:val="00723795"/>
    <w:rsid w:val="007237CD"/>
    <w:rsid w:val="00725095"/>
    <w:rsid w:val="00725229"/>
    <w:rsid w:val="00725997"/>
    <w:rsid w:val="00730789"/>
    <w:rsid w:val="007310BC"/>
    <w:rsid w:val="00731B65"/>
    <w:rsid w:val="007337C3"/>
    <w:rsid w:val="00734748"/>
    <w:rsid w:val="0073536E"/>
    <w:rsid w:val="007355DF"/>
    <w:rsid w:val="00737B99"/>
    <w:rsid w:val="00737CD5"/>
    <w:rsid w:val="00741815"/>
    <w:rsid w:val="00741C47"/>
    <w:rsid w:val="0074214F"/>
    <w:rsid w:val="00742CD1"/>
    <w:rsid w:val="00743499"/>
    <w:rsid w:val="00743987"/>
    <w:rsid w:val="00745BB3"/>
    <w:rsid w:val="00746949"/>
    <w:rsid w:val="00750425"/>
    <w:rsid w:val="0075205E"/>
    <w:rsid w:val="00756AC8"/>
    <w:rsid w:val="00757A55"/>
    <w:rsid w:val="00757D65"/>
    <w:rsid w:val="007606DC"/>
    <w:rsid w:val="007608D2"/>
    <w:rsid w:val="00761A4B"/>
    <w:rsid w:val="00762276"/>
    <w:rsid w:val="00763BE2"/>
    <w:rsid w:val="00763CFE"/>
    <w:rsid w:val="0076637A"/>
    <w:rsid w:val="00766DD9"/>
    <w:rsid w:val="00767258"/>
    <w:rsid w:val="00767C1E"/>
    <w:rsid w:val="007704B8"/>
    <w:rsid w:val="00770981"/>
    <w:rsid w:val="00771FF4"/>
    <w:rsid w:val="00773BAC"/>
    <w:rsid w:val="007767A6"/>
    <w:rsid w:val="00776CEC"/>
    <w:rsid w:val="00780259"/>
    <w:rsid w:val="00780E00"/>
    <w:rsid w:val="007829FC"/>
    <w:rsid w:val="007830DB"/>
    <w:rsid w:val="007838AF"/>
    <w:rsid w:val="0079057C"/>
    <w:rsid w:val="007913F5"/>
    <w:rsid w:val="007919A5"/>
    <w:rsid w:val="007931FE"/>
    <w:rsid w:val="007935CB"/>
    <w:rsid w:val="00793760"/>
    <w:rsid w:val="00793886"/>
    <w:rsid w:val="00793BE0"/>
    <w:rsid w:val="00794896"/>
    <w:rsid w:val="00796C56"/>
    <w:rsid w:val="007A0505"/>
    <w:rsid w:val="007A2983"/>
    <w:rsid w:val="007A43F4"/>
    <w:rsid w:val="007A4768"/>
    <w:rsid w:val="007A4B3B"/>
    <w:rsid w:val="007A4E85"/>
    <w:rsid w:val="007A4E99"/>
    <w:rsid w:val="007A63FE"/>
    <w:rsid w:val="007A6909"/>
    <w:rsid w:val="007A708E"/>
    <w:rsid w:val="007A7DD0"/>
    <w:rsid w:val="007B1248"/>
    <w:rsid w:val="007B127D"/>
    <w:rsid w:val="007B1C66"/>
    <w:rsid w:val="007B35DB"/>
    <w:rsid w:val="007B40F8"/>
    <w:rsid w:val="007B46A3"/>
    <w:rsid w:val="007B76AD"/>
    <w:rsid w:val="007C1E29"/>
    <w:rsid w:val="007C20B1"/>
    <w:rsid w:val="007C45F9"/>
    <w:rsid w:val="007C4D71"/>
    <w:rsid w:val="007C6764"/>
    <w:rsid w:val="007C69DD"/>
    <w:rsid w:val="007D10C9"/>
    <w:rsid w:val="007D167B"/>
    <w:rsid w:val="007D1905"/>
    <w:rsid w:val="007E1530"/>
    <w:rsid w:val="007E157D"/>
    <w:rsid w:val="007E1B02"/>
    <w:rsid w:val="007E312F"/>
    <w:rsid w:val="007E343E"/>
    <w:rsid w:val="007E6CAC"/>
    <w:rsid w:val="007E7440"/>
    <w:rsid w:val="007F008C"/>
    <w:rsid w:val="007F13D0"/>
    <w:rsid w:val="007F2668"/>
    <w:rsid w:val="007F5380"/>
    <w:rsid w:val="007F67AA"/>
    <w:rsid w:val="007F7872"/>
    <w:rsid w:val="00800505"/>
    <w:rsid w:val="0080058C"/>
    <w:rsid w:val="00800933"/>
    <w:rsid w:val="00801F81"/>
    <w:rsid w:val="00804A95"/>
    <w:rsid w:val="00804DC5"/>
    <w:rsid w:val="00805068"/>
    <w:rsid w:val="00805A32"/>
    <w:rsid w:val="008067F1"/>
    <w:rsid w:val="00807365"/>
    <w:rsid w:val="00812882"/>
    <w:rsid w:val="00812D2B"/>
    <w:rsid w:val="00812F43"/>
    <w:rsid w:val="0081374A"/>
    <w:rsid w:val="008150C4"/>
    <w:rsid w:val="00815685"/>
    <w:rsid w:val="00815F41"/>
    <w:rsid w:val="00815FCD"/>
    <w:rsid w:val="008170C3"/>
    <w:rsid w:val="00817212"/>
    <w:rsid w:val="008205F9"/>
    <w:rsid w:val="008206F9"/>
    <w:rsid w:val="008207E8"/>
    <w:rsid w:val="008213EB"/>
    <w:rsid w:val="00821F0A"/>
    <w:rsid w:val="00824E4B"/>
    <w:rsid w:val="00825B8D"/>
    <w:rsid w:val="008277B6"/>
    <w:rsid w:val="00830076"/>
    <w:rsid w:val="008300D1"/>
    <w:rsid w:val="00832946"/>
    <w:rsid w:val="00833E91"/>
    <w:rsid w:val="00835370"/>
    <w:rsid w:val="00835D96"/>
    <w:rsid w:val="0083670B"/>
    <w:rsid w:val="00836EA3"/>
    <w:rsid w:val="00837B57"/>
    <w:rsid w:val="0084174D"/>
    <w:rsid w:val="00841B6D"/>
    <w:rsid w:val="0084205A"/>
    <w:rsid w:val="0084307D"/>
    <w:rsid w:val="00845449"/>
    <w:rsid w:val="00845E49"/>
    <w:rsid w:val="0084698F"/>
    <w:rsid w:val="00850962"/>
    <w:rsid w:val="00851BB7"/>
    <w:rsid w:val="0085261C"/>
    <w:rsid w:val="00853623"/>
    <w:rsid w:val="00853679"/>
    <w:rsid w:val="00853807"/>
    <w:rsid w:val="00855449"/>
    <w:rsid w:val="008621DA"/>
    <w:rsid w:val="008632CB"/>
    <w:rsid w:val="00864B28"/>
    <w:rsid w:val="00864C2A"/>
    <w:rsid w:val="00866EAC"/>
    <w:rsid w:val="00867B63"/>
    <w:rsid w:val="0087106F"/>
    <w:rsid w:val="00872159"/>
    <w:rsid w:val="0087275E"/>
    <w:rsid w:val="0087697F"/>
    <w:rsid w:val="00877FBD"/>
    <w:rsid w:val="008804C7"/>
    <w:rsid w:val="00881AB8"/>
    <w:rsid w:val="008821C2"/>
    <w:rsid w:val="00882AFB"/>
    <w:rsid w:val="008831C4"/>
    <w:rsid w:val="00883421"/>
    <w:rsid w:val="00885FA3"/>
    <w:rsid w:val="0088661B"/>
    <w:rsid w:val="00886A97"/>
    <w:rsid w:val="0088751D"/>
    <w:rsid w:val="0089091D"/>
    <w:rsid w:val="008912F0"/>
    <w:rsid w:val="0089172A"/>
    <w:rsid w:val="00892074"/>
    <w:rsid w:val="00892BBD"/>
    <w:rsid w:val="00893314"/>
    <w:rsid w:val="00893A4E"/>
    <w:rsid w:val="0089785B"/>
    <w:rsid w:val="008978E0"/>
    <w:rsid w:val="008A1A6A"/>
    <w:rsid w:val="008A353B"/>
    <w:rsid w:val="008A4744"/>
    <w:rsid w:val="008A5829"/>
    <w:rsid w:val="008A6602"/>
    <w:rsid w:val="008A6729"/>
    <w:rsid w:val="008A7A62"/>
    <w:rsid w:val="008A7BD1"/>
    <w:rsid w:val="008B0140"/>
    <w:rsid w:val="008B14FC"/>
    <w:rsid w:val="008B15B0"/>
    <w:rsid w:val="008B2733"/>
    <w:rsid w:val="008B305A"/>
    <w:rsid w:val="008B3A17"/>
    <w:rsid w:val="008B4D43"/>
    <w:rsid w:val="008B512A"/>
    <w:rsid w:val="008B64EF"/>
    <w:rsid w:val="008B7736"/>
    <w:rsid w:val="008B7BB0"/>
    <w:rsid w:val="008B7C2E"/>
    <w:rsid w:val="008C1AEE"/>
    <w:rsid w:val="008C22A7"/>
    <w:rsid w:val="008C2524"/>
    <w:rsid w:val="008C277F"/>
    <w:rsid w:val="008C4729"/>
    <w:rsid w:val="008D14E7"/>
    <w:rsid w:val="008D1A44"/>
    <w:rsid w:val="008D1A7B"/>
    <w:rsid w:val="008D1B5A"/>
    <w:rsid w:val="008D2977"/>
    <w:rsid w:val="008D2CD5"/>
    <w:rsid w:val="008D2F19"/>
    <w:rsid w:val="008D34A5"/>
    <w:rsid w:val="008E06CD"/>
    <w:rsid w:val="008E1A10"/>
    <w:rsid w:val="008E3694"/>
    <w:rsid w:val="008E394C"/>
    <w:rsid w:val="008E70EE"/>
    <w:rsid w:val="008E746F"/>
    <w:rsid w:val="008F0161"/>
    <w:rsid w:val="008F2BE7"/>
    <w:rsid w:val="008F3EDC"/>
    <w:rsid w:val="008F6AD5"/>
    <w:rsid w:val="008F6C75"/>
    <w:rsid w:val="008F6FF7"/>
    <w:rsid w:val="008F705C"/>
    <w:rsid w:val="00902DB7"/>
    <w:rsid w:val="00903886"/>
    <w:rsid w:val="00903C40"/>
    <w:rsid w:val="00903D66"/>
    <w:rsid w:val="0090405B"/>
    <w:rsid w:val="00904089"/>
    <w:rsid w:val="009049B4"/>
    <w:rsid w:val="009061AD"/>
    <w:rsid w:val="009064FE"/>
    <w:rsid w:val="009073BC"/>
    <w:rsid w:val="0090765B"/>
    <w:rsid w:val="009105B7"/>
    <w:rsid w:val="009111E2"/>
    <w:rsid w:val="00912409"/>
    <w:rsid w:val="00913058"/>
    <w:rsid w:val="0091346B"/>
    <w:rsid w:val="0091417F"/>
    <w:rsid w:val="00922654"/>
    <w:rsid w:val="00923BC0"/>
    <w:rsid w:val="00923EEC"/>
    <w:rsid w:val="0092432A"/>
    <w:rsid w:val="009255E3"/>
    <w:rsid w:val="009260C9"/>
    <w:rsid w:val="00927857"/>
    <w:rsid w:val="00930539"/>
    <w:rsid w:val="00930648"/>
    <w:rsid w:val="009311BB"/>
    <w:rsid w:val="00931C71"/>
    <w:rsid w:val="00932073"/>
    <w:rsid w:val="0093207D"/>
    <w:rsid w:val="00934411"/>
    <w:rsid w:val="00935367"/>
    <w:rsid w:val="0093699C"/>
    <w:rsid w:val="009372CC"/>
    <w:rsid w:val="00940706"/>
    <w:rsid w:val="00942860"/>
    <w:rsid w:val="00943408"/>
    <w:rsid w:val="00943FAB"/>
    <w:rsid w:val="00944625"/>
    <w:rsid w:val="00945112"/>
    <w:rsid w:val="009468A1"/>
    <w:rsid w:val="00946D02"/>
    <w:rsid w:val="009510C5"/>
    <w:rsid w:val="00953922"/>
    <w:rsid w:val="00953ED9"/>
    <w:rsid w:val="0095520B"/>
    <w:rsid w:val="0096036F"/>
    <w:rsid w:val="00960633"/>
    <w:rsid w:val="00962732"/>
    <w:rsid w:val="00962971"/>
    <w:rsid w:val="00963767"/>
    <w:rsid w:val="00963A61"/>
    <w:rsid w:val="00963E90"/>
    <w:rsid w:val="00964915"/>
    <w:rsid w:val="00965C20"/>
    <w:rsid w:val="0096644F"/>
    <w:rsid w:val="00967DA2"/>
    <w:rsid w:val="0097006C"/>
    <w:rsid w:val="00971920"/>
    <w:rsid w:val="00971D9E"/>
    <w:rsid w:val="009731D8"/>
    <w:rsid w:val="00974944"/>
    <w:rsid w:val="009754A5"/>
    <w:rsid w:val="009758B3"/>
    <w:rsid w:val="00975971"/>
    <w:rsid w:val="00975F6A"/>
    <w:rsid w:val="009775A5"/>
    <w:rsid w:val="00977FF7"/>
    <w:rsid w:val="00981260"/>
    <w:rsid w:val="00982F42"/>
    <w:rsid w:val="009831DE"/>
    <w:rsid w:val="0098466D"/>
    <w:rsid w:val="009860B7"/>
    <w:rsid w:val="00990209"/>
    <w:rsid w:val="00990F02"/>
    <w:rsid w:val="00991215"/>
    <w:rsid w:val="009920E2"/>
    <w:rsid w:val="00992776"/>
    <w:rsid w:val="00992B6C"/>
    <w:rsid w:val="00995017"/>
    <w:rsid w:val="009A0854"/>
    <w:rsid w:val="009A268C"/>
    <w:rsid w:val="009A2890"/>
    <w:rsid w:val="009A3887"/>
    <w:rsid w:val="009A3A36"/>
    <w:rsid w:val="009A44C4"/>
    <w:rsid w:val="009A4C12"/>
    <w:rsid w:val="009A7572"/>
    <w:rsid w:val="009B1C58"/>
    <w:rsid w:val="009B2163"/>
    <w:rsid w:val="009B282F"/>
    <w:rsid w:val="009B45BC"/>
    <w:rsid w:val="009B4B26"/>
    <w:rsid w:val="009B5232"/>
    <w:rsid w:val="009B588C"/>
    <w:rsid w:val="009B6EEB"/>
    <w:rsid w:val="009B745B"/>
    <w:rsid w:val="009C0A9F"/>
    <w:rsid w:val="009C0DE0"/>
    <w:rsid w:val="009C1260"/>
    <w:rsid w:val="009C1824"/>
    <w:rsid w:val="009C2F6D"/>
    <w:rsid w:val="009C4301"/>
    <w:rsid w:val="009C4839"/>
    <w:rsid w:val="009C6221"/>
    <w:rsid w:val="009C673A"/>
    <w:rsid w:val="009C6EDE"/>
    <w:rsid w:val="009C71B9"/>
    <w:rsid w:val="009C739D"/>
    <w:rsid w:val="009C7B60"/>
    <w:rsid w:val="009D27A0"/>
    <w:rsid w:val="009D283F"/>
    <w:rsid w:val="009D4306"/>
    <w:rsid w:val="009D7331"/>
    <w:rsid w:val="009D7868"/>
    <w:rsid w:val="009E0BE6"/>
    <w:rsid w:val="009E2D14"/>
    <w:rsid w:val="009E3121"/>
    <w:rsid w:val="009E34A7"/>
    <w:rsid w:val="009E604F"/>
    <w:rsid w:val="009E7EA5"/>
    <w:rsid w:val="009F0720"/>
    <w:rsid w:val="009F183C"/>
    <w:rsid w:val="009F1D4F"/>
    <w:rsid w:val="009F28D9"/>
    <w:rsid w:val="009F2E9A"/>
    <w:rsid w:val="009F3B06"/>
    <w:rsid w:val="009F472C"/>
    <w:rsid w:val="009F59A0"/>
    <w:rsid w:val="009F5A57"/>
    <w:rsid w:val="009F69AD"/>
    <w:rsid w:val="009F72C5"/>
    <w:rsid w:val="00A00706"/>
    <w:rsid w:val="00A00A1E"/>
    <w:rsid w:val="00A00F62"/>
    <w:rsid w:val="00A0110B"/>
    <w:rsid w:val="00A0123B"/>
    <w:rsid w:val="00A02194"/>
    <w:rsid w:val="00A02B5C"/>
    <w:rsid w:val="00A02FC6"/>
    <w:rsid w:val="00A03607"/>
    <w:rsid w:val="00A058C4"/>
    <w:rsid w:val="00A05C6A"/>
    <w:rsid w:val="00A102DB"/>
    <w:rsid w:val="00A11179"/>
    <w:rsid w:val="00A12388"/>
    <w:rsid w:val="00A12627"/>
    <w:rsid w:val="00A128C5"/>
    <w:rsid w:val="00A13FEE"/>
    <w:rsid w:val="00A145AF"/>
    <w:rsid w:val="00A15D84"/>
    <w:rsid w:val="00A17747"/>
    <w:rsid w:val="00A17D8E"/>
    <w:rsid w:val="00A215E9"/>
    <w:rsid w:val="00A224A4"/>
    <w:rsid w:val="00A22B98"/>
    <w:rsid w:val="00A25A03"/>
    <w:rsid w:val="00A2685D"/>
    <w:rsid w:val="00A27E9B"/>
    <w:rsid w:val="00A31D20"/>
    <w:rsid w:val="00A3469A"/>
    <w:rsid w:val="00A349B2"/>
    <w:rsid w:val="00A373C6"/>
    <w:rsid w:val="00A37985"/>
    <w:rsid w:val="00A40693"/>
    <w:rsid w:val="00A41067"/>
    <w:rsid w:val="00A420B4"/>
    <w:rsid w:val="00A43503"/>
    <w:rsid w:val="00A4391C"/>
    <w:rsid w:val="00A43F61"/>
    <w:rsid w:val="00A448E1"/>
    <w:rsid w:val="00A45887"/>
    <w:rsid w:val="00A47194"/>
    <w:rsid w:val="00A506DC"/>
    <w:rsid w:val="00A5219C"/>
    <w:rsid w:val="00A527A9"/>
    <w:rsid w:val="00A54AE0"/>
    <w:rsid w:val="00A55B55"/>
    <w:rsid w:val="00A572C3"/>
    <w:rsid w:val="00A612ED"/>
    <w:rsid w:val="00A61567"/>
    <w:rsid w:val="00A61E9C"/>
    <w:rsid w:val="00A62608"/>
    <w:rsid w:val="00A636DD"/>
    <w:rsid w:val="00A642EE"/>
    <w:rsid w:val="00A64981"/>
    <w:rsid w:val="00A653D2"/>
    <w:rsid w:val="00A658DC"/>
    <w:rsid w:val="00A65917"/>
    <w:rsid w:val="00A72141"/>
    <w:rsid w:val="00A72854"/>
    <w:rsid w:val="00A73555"/>
    <w:rsid w:val="00A7537F"/>
    <w:rsid w:val="00A80471"/>
    <w:rsid w:val="00A81785"/>
    <w:rsid w:val="00A81947"/>
    <w:rsid w:val="00A821E5"/>
    <w:rsid w:val="00A825FD"/>
    <w:rsid w:val="00A82CC6"/>
    <w:rsid w:val="00A82E09"/>
    <w:rsid w:val="00A8572F"/>
    <w:rsid w:val="00A857B1"/>
    <w:rsid w:val="00A86B9C"/>
    <w:rsid w:val="00A87926"/>
    <w:rsid w:val="00A91CB1"/>
    <w:rsid w:val="00A930EC"/>
    <w:rsid w:val="00A93576"/>
    <w:rsid w:val="00A93C5B"/>
    <w:rsid w:val="00A93E8B"/>
    <w:rsid w:val="00A94885"/>
    <w:rsid w:val="00A977A2"/>
    <w:rsid w:val="00AA0467"/>
    <w:rsid w:val="00AA1358"/>
    <w:rsid w:val="00AA19B7"/>
    <w:rsid w:val="00AA1E50"/>
    <w:rsid w:val="00AA2126"/>
    <w:rsid w:val="00AA2C45"/>
    <w:rsid w:val="00AA3AFE"/>
    <w:rsid w:val="00AA59D2"/>
    <w:rsid w:val="00AB2133"/>
    <w:rsid w:val="00AB4742"/>
    <w:rsid w:val="00AB4BF7"/>
    <w:rsid w:val="00AB5364"/>
    <w:rsid w:val="00AB7CED"/>
    <w:rsid w:val="00AC177A"/>
    <w:rsid w:val="00AC1D86"/>
    <w:rsid w:val="00AC2835"/>
    <w:rsid w:val="00AC2BA8"/>
    <w:rsid w:val="00AC6DDB"/>
    <w:rsid w:val="00AD01CD"/>
    <w:rsid w:val="00AD032E"/>
    <w:rsid w:val="00AD1FD3"/>
    <w:rsid w:val="00AD2646"/>
    <w:rsid w:val="00AD2928"/>
    <w:rsid w:val="00AD2B64"/>
    <w:rsid w:val="00AD3CBA"/>
    <w:rsid w:val="00AD3E8C"/>
    <w:rsid w:val="00AD5C94"/>
    <w:rsid w:val="00AE0CE4"/>
    <w:rsid w:val="00AE0E76"/>
    <w:rsid w:val="00AE1AAA"/>
    <w:rsid w:val="00AE1F6B"/>
    <w:rsid w:val="00AE2643"/>
    <w:rsid w:val="00AE3C2D"/>
    <w:rsid w:val="00AE5454"/>
    <w:rsid w:val="00AE5928"/>
    <w:rsid w:val="00AE5F6E"/>
    <w:rsid w:val="00AE60DC"/>
    <w:rsid w:val="00AE6E88"/>
    <w:rsid w:val="00AE7158"/>
    <w:rsid w:val="00AE7C9A"/>
    <w:rsid w:val="00AF186F"/>
    <w:rsid w:val="00AF2F72"/>
    <w:rsid w:val="00AF3B8F"/>
    <w:rsid w:val="00AF49C0"/>
    <w:rsid w:val="00AF6680"/>
    <w:rsid w:val="00AF6F27"/>
    <w:rsid w:val="00AF6FF1"/>
    <w:rsid w:val="00B00036"/>
    <w:rsid w:val="00B02E61"/>
    <w:rsid w:val="00B0327D"/>
    <w:rsid w:val="00B0331B"/>
    <w:rsid w:val="00B03B71"/>
    <w:rsid w:val="00B04854"/>
    <w:rsid w:val="00B05D2D"/>
    <w:rsid w:val="00B0606B"/>
    <w:rsid w:val="00B06BB9"/>
    <w:rsid w:val="00B11BFA"/>
    <w:rsid w:val="00B12AF0"/>
    <w:rsid w:val="00B14D3B"/>
    <w:rsid w:val="00B15A6C"/>
    <w:rsid w:val="00B170BB"/>
    <w:rsid w:val="00B175C4"/>
    <w:rsid w:val="00B20B0F"/>
    <w:rsid w:val="00B20BFB"/>
    <w:rsid w:val="00B22249"/>
    <w:rsid w:val="00B2255F"/>
    <w:rsid w:val="00B22782"/>
    <w:rsid w:val="00B27B52"/>
    <w:rsid w:val="00B30404"/>
    <w:rsid w:val="00B31244"/>
    <w:rsid w:val="00B31931"/>
    <w:rsid w:val="00B31985"/>
    <w:rsid w:val="00B37863"/>
    <w:rsid w:val="00B3796B"/>
    <w:rsid w:val="00B402FF"/>
    <w:rsid w:val="00B414DB"/>
    <w:rsid w:val="00B41CBE"/>
    <w:rsid w:val="00B42369"/>
    <w:rsid w:val="00B428C6"/>
    <w:rsid w:val="00B4291F"/>
    <w:rsid w:val="00B43692"/>
    <w:rsid w:val="00B43E98"/>
    <w:rsid w:val="00B44102"/>
    <w:rsid w:val="00B46926"/>
    <w:rsid w:val="00B50F40"/>
    <w:rsid w:val="00B558CD"/>
    <w:rsid w:val="00B55A42"/>
    <w:rsid w:val="00B55B2F"/>
    <w:rsid w:val="00B55DE3"/>
    <w:rsid w:val="00B56231"/>
    <w:rsid w:val="00B60614"/>
    <w:rsid w:val="00B6077F"/>
    <w:rsid w:val="00B61FF8"/>
    <w:rsid w:val="00B660DC"/>
    <w:rsid w:val="00B66BAE"/>
    <w:rsid w:val="00B71618"/>
    <w:rsid w:val="00B71BE5"/>
    <w:rsid w:val="00B71C7C"/>
    <w:rsid w:val="00B72102"/>
    <w:rsid w:val="00B74694"/>
    <w:rsid w:val="00B756B7"/>
    <w:rsid w:val="00B77254"/>
    <w:rsid w:val="00B77D37"/>
    <w:rsid w:val="00B80251"/>
    <w:rsid w:val="00B826DD"/>
    <w:rsid w:val="00B82AD7"/>
    <w:rsid w:val="00B868BC"/>
    <w:rsid w:val="00B86E9C"/>
    <w:rsid w:val="00B87D7D"/>
    <w:rsid w:val="00B9126E"/>
    <w:rsid w:val="00B95DE9"/>
    <w:rsid w:val="00B968DA"/>
    <w:rsid w:val="00B970AE"/>
    <w:rsid w:val="00B976EE"/>
    <w:rsid w:val="00B97ADB"/>
    <w:rsid w:val="00BA10E3"/>
    <w:rsid w:val="00BA1DAD"/>
    <w:rsid w:val="00BA2CC4"/>
    <w:rsid w:val="00BA3CB2"/>
    <w:rsid w:val="00BA576B"/>
    <w:rsid w:val="00BB001C"/>
    <w:rsid w:val="00BB1130"/>
    <w:rsid w:val="00BB1B4D"/>
    <w:rsid w:val="00BB23F4"/>
    <w:rsid w:val="00BB35C0"/>
    <w:rsid w:val="00BB476A"/>
    <w:rsid w:val="00BB5CE8"/>
    <w:rsid w:val="00BB69A8"/>
    <w:rsid w:val="00BB7411"/>
    <w:rsid w:val="00BC0D45"/>
    <w:rsid w:val="00BC1690"/>
    <w:rsid w:val="00BC2648"/>
    <w:rsid w:val="00BC4C43"/>
    <w:rsid w:val="00BC59C0"/>
    <w:rsid w:val="00BC59F3"/>
    <w:rsid w:val="00BC614F"/>
    <w:rsid w:val="00BC7179"/>
    <w:rsid w:val="00BC7381"/>
    <w:rsid w:val="00BC786F"/>
    <w:rsid w:val="00BD01DC"/>
    <w:rsid w:val="00BD04E8"/>
    <w:rsid w:val="00BD126F"/>
    <w:rsid w:val="00BD1284"/>
    <w:rsid w:val="00BD1EB4"/>
    <w:rsid w:val="00BD3E56"/>
    <w:rsid w:val="00BD446B"/>
    <w:rsid w:val="00BD4684"/>
    <w:rsid w:val="00BD530F"/>
    <w:rsid w:val="00BD5C44"/>
    <w:rsid w:val="00BD5D52"/>
    <w:rsid w:val="00BE00B4"/>
    <w:rsid w:val="00BE32CE"/>
    <w:rsid w:val="00BF2FCE"/>
    <w:rsid w:val="00BF3CDE"/>
    <w:rsid w:val="00BF4334"/>
    <w:rsid w:val="00BF4CEC"/>
    <w:rsid w:val="00BF5470"/>
    <w:rsid w:val="00BF76FE"/>
    <w:rsid w:val="00BF7FA4"/>
    <w:rsid w:val="00C00D16"/>
    <w:rsid w:val="00C017E3"/>
    <w:rsid w:val="00C02937"/>
    <w:rsid w:val="00C02E6E"/>
    <w:rsid w:val="00C03203"/>
    <w:rsid w:val="00C03FBD"/>
    <w:rsid w:val="00C0430C"/>
    <w:rsid w:val="00C10D51"/>
    <w:rsid w:val="00C10E5A"/>
    <w:rsid w:val="00C11449"/>
    <w:rsid w:val="00C11613"/>
    <w:rsid w:val="00C15EFF"/>
    <w:rsid w:val="00C20A80"/>
    <w:rsid w:val="00C21486"/>
    <w:rsid w:val="00C219C7"/>
    <w:rsid w:val="00C232D4"/>
    <w:rsid w:val="00C26C2F"/>
    <w:rsid w:val="00C26D10"/>
    <w:rsid w:val="00C27536"/>
    <w:rsid w:val="00C31356"/>
    <w:rsid w:val="00C315EE"/>
    <w:rsid w:val="00C320AC"/>
    <w:rsid w:val="00C32536"/>
    <w:rsid w:val="00C3328F"/>
    <w:rsid w:val="00C333A4"/>
    <w:rsid w:val="00C33647"/>
    <w:rsid w:val="00C34749"/>
    <w:rsid w:val="00C37580"/>
    <w:rsid w:val="00C40738"/>
    <w:rsid w:val="00C40841"/>
    <w:rsid w:val="00C42B66"/>
    <w:rsid w:val="00C44A77"/>
    <w:rsid w:val="00C45B9F"/>
    <w:rsid w:val="00C46D77"/>
    <w:rsid w:val="00C47080"/>
    <w:rsid w:val="00C47107"/>
    <w:rsid w:val="00C472F3"/>
    <w:rsid w:val="00C518D7"/>
    <w:rsid w:val="00C5260C"/>
    <w:rsid w:val="00C52836"/>
    <w:rsid w:val="00C52F85"/>
    <w:rsid w:val="00C55C67"/>
    <w:rsid w:val="00C5682A"/>
    <w:rsid w:val="00C57C3A"/>
    <w:rsid w:val="00C6162E"/>
    <w:rsid w:val="00C6187C"/>
    <w:rsid w:val="00C62B71"/>
    <w:rsid w:val="00C62EA3"/>
    <w:rsid w:val="00C6522F"/>
    <w:rsid w:val="00C71F85"/>
    <w:rsid w:val="00C72B3A"/>
    <w:rsid w:val="00C75F96"/>
    <w:rsid w:val="00C76305"/>
    <w:rsid w:val="00C81E40"/>
    <w:rsid w:val="00C825A0"/>
    <w:rsid w:val="00C83CC9"/>
    <w:rsid w:val="00C85043"/>
    <w:rsid w:val="00C85590"/>
    <w:rsid w:val="00C85C9E"/>
    <w:rsid w:val="00C85E67"/>
    <w:rsid w:val="00C91083"/>
    <w:rsid w:val="00C91921"/>
    <w:rsid w:val="00C95375"/>
    <w:rsid w:val="00C957AE"/>
    <w:rsid w:val="00CA30E9"/>
    <w:rsid w:val="00CA3F34"/>
    <w:rsid w:val="00CA4412"/>
    <w:rsid w:val="00CA6D6E"/>
    <w:rsid w:val="00CA70CC"/>
    <w:rsid w:val="00CA7A96"/>
    <w:rsid w:val="00CB167D"/>
    <w:rsid w:val="00CB1EE3"/>
    <w:rsid w:val="00CB3616"/>
    <w:rsid w:val="00CB5811"/>
    <w:rsid w:val="00CC0064"/>
    <w:rsid w:val="00CC2F28"/>
    <w:rsid w:val="00CC34A3"/>
    <w:rsid w:val="00CC4119"/>
    <w:rsid w:val="00CC76E9"/>
    <w:rsid w:val="00CD120F"/>
    <w:rsid w:val="00CD15BB"/>
    <w:rsid w:val="00CD3186"/>
    <w:rsid w:val="00CD444B"/>
    <w:rsid w:val="00CD717E"/>
    <w:rsid w:val="00CD788A"/>
    <w:rsid w:val="00CE1D04"/>
    <w:rsid w:val="00CE2600"/>
    <w:rsid w:val="00CE5CD3"/>
    <w:rsid w:val="00CE7905"/>
    <w:rsid w:val="00CE7B18"/>
    <w:rsid w:val="00CF0B51"/>
    <w:rsid w:val="00CF0ED3"/>
    <w:rsid w:val="00CF2FBA"/>
    <w:rsid w:val="00CF3716"/>
    <w:rsid w:val="00CF5F56"/>
    <w:rsid w:val="00CF7853"/>
    <w:rsid w:val="00CF7D0F"/>
    <w:rsid w:val="00D0045F"/>
    <w:rsid w:val="00D01359"/>
    <w:rsid w:val="00D022CC"/>
    <w:rsid w:val="00D029DE"/>
    <w:rsid w:val="00D02B32"/>
    <w:rsid w:val="00D035F4"/>
    <w:rsid w:val="00D037CD"/>
    <w:rsid w:val="00D05E04"/>
    <w:rsid w:val="00D13A3A"/>
    <w:rsid w:val="00D13FC1"/>
    <w:rsid w:val="00D16013"/>
    <w:rsid w:val="00D16178"/>
    <w:rsid w:val="00D171C1"/>
    <w:rsid w:val="00D17D99"/>
    <w:rsid w:val="00D2072B"/>
    <w:rsid w:val="00D208C0"/>
    <w:rsid w:val="00D21B2A"/>
    <w:rsid w:val="00D30DFF"/>
    <w:rsid w:val="00D3233E"/>
    <w:rsid w:val="00D34E97"/>
    <w:rsid w:val="00D356F0"/>
    <w:rsid w:val="00D35F46"/>
    <w:rsid w:val="00D36A22"/>
    <w:rsid w:val="00D36A60"/>
    <w:rsid w:val="00D37154"/>
    <w:rsid w:val="00D41B83"/>
    <w:rsid w:val="00D420A3"/>
    <w:rsid w:val="00D46F9B"/>
    <w:rsid w:val="00D47176"/>
    <w:rsid w:val="00D50E2E"/>
    <w:rsid w:val="00D51252"/>
    <w:rsid w:val="00D514CE"/>
    <w:rsid w:val="00D5163D"/>
    <w:rsid w:val="00D51805"/>
    <w:rsid w:val="00D53835"/>
    <w:rsid w:val="00D5438B"/>
    <w:rsid w:val="00D552DD"/>
    <w:rsid w:val="00D55ED4"/>
    <w:rsid w:val="00D57DCB"/>
    <w:rsid w:val="00D6003A"/>
    <w:rsid w:val="00D6069A"/>
    <w:rsid w:val="00D606B9"/>
    <w:rsid w:val="00D626AA"/>
    <w:rsid w:val="00D6394E"/>
    <w:rsid w:val="00D63B9D"/>
    <w:rsid w:val="00D63CC0"/>
    <w:rsid w:val="00D63E2C"/>
    <w:rsid w:val="00D65832"/>
    <w:rsid w:val="00D674DB"/>
    <w:rsid w:val="00D67A35"/>
    <w:rsid w:val="00D67BCF"/>
    <w:rsid w:val="00D704CF"/>
    <w:rsid w:val="00D71719"/>
    <w:rsid w:val="00D71FEB"/>
    <w:rsid w:val="00D72347"/>
    <w:rsid w:val="00D73756"/>
    <w:rsid w:val="00D750FD"/>
    <w:rsid w:val="00D765E3"/>
    <w:rsid w:val="00D76B02"/>
    <w:rsid w:val="00D76DD5"/>
    <w:rsid w:val="00D77C17"/>
    <w:rsid w:val="00D77E74"/>
    <w:rsid w:val="00D77F10"/>
    <w:rsid w:val="00D80000"/>
    <w:rsid w:val="00D808C5"/>
    <w:rsid w:val="00D80906"/>
    <w:rsid w:val="00D82178"/>
    <w:rsid w:val="00D85815"/>
    <w:rsid w:val="00D85F45"/>
    <w:rsid w:val="00D86A87"/>
    <w:rsid w:val="00D8735A"/>
    <w:rsid w:val="00D87450"/>
    <w:rsid w:val="00D912B4"/>
    <w:rsid w:val="00D9174B"/>
    <w:rsid w:val="00D9689F"/>
    <w:rsid w:val="00DA004D"/>
    <w:rsid w:val="00DA10CC"/>
    <w:rsid w:val="00DA41C9"/>
    <w:rsid w:val="00DA48B1"/>
    <w:rsid w:val="00DA499F"/>
    <w:rsid w:val="00DA5177"/>
    <w:rsid w:val="00DA582B"/>
    <w:rsid w:val="00DA5A04"/>
    <w:rsid w:val="00DA791C"/>
    <w:rsid w:val="00DB010A"/>
    <w:rsid w:val="00DB16C7"/>
    <w:rsid w:val="00DB2B16"/>
    <w:rsid w:val="00DB53B5"/>
    <w:rsid w:val="00DB5A95"/>
    <w:rsid w:val="00DB5B9C"/>
    <w:rsid w:val="00DB71E4"/>
    <w:rsid w:val="00DB7F1B"/>
    <w:rsid w:val="00DC082C"/>
    <w:rsid w:val="00DC3558"/>
    <w:rsid w:val="00DC6C94"/>
    <w:rsid w:val="00DD0C03"/>
    <w:rsid w:val="00DD2249"/>
    <w:rsid w:val="00DD56D4"/>
    <w:rsid w:val="00DD6F08"/>
    <w:rsid w:val="00DD7689"/>
    <w:rsid w:val="00DD7808"/>
    <w:rsid w:val="00DE0B43"/>
    <w:rsid w:val="00DE1827"/>
    <w:rsid w:val="00DE3A99"/>
    <w:rsid w:val="00DE4F55"/>
    <w:rsid w:val="00DE5836"/>
    <w:rsid w:val="00DE7485"/>
    <w:rsid w:val="00DE7F76"/>
    <w:rsid w:val="00DF1967"/>
    <w:rsid w:val="00DF4CC7"/>
    <w:rsid w:val="00DF5CA2"/>
    <w:rsid w:val="00DF7376"/>
    <w:rsid w:val="00DF7D0D"/>
    <w:rsid w:val="00E01A5B"/>
    <w:rsid w:val="00E01B62"/>
    <w:rsid w:val="00E02518"/>
    <w:rsid w:val="00E030CB"/>
    <w:rsid w:val="00E0550F"/>
    <w:rsid w:val="00E07235"/>
    <w:rsid w:val="00E102E1"/>
    <w:rsid w:val="00E13C03"/>
    <w:rsid w:val="00E1418C"/>
    <w:rsid w:val="00E16027"/>
    <w:rsid w:val="00E170F8"/>
    <w:rsid w:val="00E171FE"/>
    <w:rsid w:val="00E21BC5"/>
    <w:rsid w:val="00E21E1D"/>
    <w:rsid w:val="00E24F7B"/>
    <w:rsid w:val="00E2632C"/>
    <w:rsid w:val="00E30143"/>
    <w:rsid w:val="00E31433"/>
    <w:rsid w:val="00E31A95"/>
    <w:rsid w:val="00E326DA"/>
    <w:rsid w:val="00E34258"/>
    <w:rsid w:val="00E3664A"/>
    <w:rsid w:val="00E36E26"/>
    <w:rsid w:val="00E36FA5"/>
    <w:rsid w:val="00E3757C"/>
    <w:rsid w:val="00E41D1C"/>
    <w:rsid w:val="00E42F92"/>
    <w:rsid w:val="00E4320F"/>
    <w:rsid w:val="00E43A9F"/>
    <w:rsid w:val="00E44B5D"/>
    <w:rsid w:val="00E4598D"/>
    <w:rsid w:val="00E46634"/>
    <w:rsid w:val="00E509EA"/>
    <w:rsid w:val="00E50D72"/>
    <w:rsid w:val="00E5179D"/>
    <w:rsid w:val="00E52808"/>
    <w:rsid w:val="00E54238"/>
    <w:rsid w:val="00E54577"/>
    <w:rsid w:val="00E548BD"/>
    <w:rsid w:val="00E551D8"/>
    <w:rsid w:val="00E6021A"/>
    <w:rsid w:val="00E636D7"/>
    <w:rsid w:val="00E63D65"/>
    <w:rsid w:val="00E6411A"/>
    <w:rsid w:val="00E64CD7"/>
    <w:rsid w:val="00E65AB8"/>
    <w:rsid w:val="00E661CA"/>
    <w:rsid w:val="00E67B55"/>
    <w:rsid w:val="00E701BE"/>
    <w:rsid w:val="00E73B5A"/>
    <w:rsid w:val="00E7752F"/>
    <w:rsid w:val="00E778D8"/>
    <w:rsid w:val="00E8026F"/>
    <w:rsid w:val="00E81B70"/>
    <w:rsid w:val="00E834A5"/>
    <w:rsid w:val="00E845A2"/>
    <w:rsid w:val="00E84E07"/>
    <w:rsid w:val="00E8589D"/>
    <w:rsid w:val="00E85CBE"/>
    <w:rsid w:val="00E86196"/>
    <w:rsid w:val="00E86E6A"/>
    <w:rsid w:val="00E8791B"/>
    <w:rsid w:val="00E905E6"/>
    <w:rsid w:val="00E90A97"/>
    <w:rsid w:val="00E90FB4"/>
    <w:rsid w:val="00E93570"/>
    <w:rsid w:val="00E94226"/>
    <w:rsid w:val="00E94BD2"/>
    <w:rsid w:val="00E9526C"/>
    <w:rsid w:val="00E96AF4"/>
    <w:rsid w:val="00EA112B"/>
    <w:rsid w:val="00EA209C"/>
    <w:rsid w:val="00EA3D6B"/>
    <w:rsid w:val="00EA695F"/>
    <w:rsid w:val="00EA6CE1"/>
    <w:rsid w:val="00EA702E"/>
    <w:rsid w:val="00EB0DA0"/>
    <w:rsid w:val="00EB0EFC"/>
    <w:rsid w:val="00EB15DC"/>
    <w:rsid w:val="00EB43A9"/>
    <w:rsid w:val="00EB4513"/>
    <w:rsid w:val="00EC0BA5"/>
    <w:rsid w:val="00EC1F16"/>
    <w:rsid w:val="00EC3F5C"/>
    <w:rsid w:val="00EC41C4"/>
    <w:rsid w:val="00EC44A3"/>
    <w:rsid w:val="00EC459F"/>
    <w:rsid w:val="00EC51A2"/>
    <w:rsid w:val="00EC77F8"/>
    <w:rsid w:val="00EC7CD5"/>
    <w:rsid w:val="00ED1245"/>
    <w:rsid w:val="00ED2B31"/>
    <w:rsid w:val="00ED2EF4"/>
    <w:rsid w:val="00ED49F2"/>
    <w:rsid w:val="00ED71C5"/>
    <w:rsid w:val="00ED7FAF"/>
    <w:rsid w:val="00EE0090"/>
    <w:rsid w:val="00EE1286"/>
    <w:rsid w:val="00EE3096"/>
    <w:rsid w:val="00EE3896"/>
    <w:rsid w:val="00EE3DE1"/>
    <w:rsid w:val="00EE6105"/>
    <w:rsid w:val="00EE6FCA"/>
    <w:rsid w:val="00EE7CFF"/>
    <w:rsid w:val="00EF1286"/>
    <w:rsid w:val="00EF1E4A"/>
    <w:rsid w:val="00EF37F0"/>
    <w:rsid w:val="00EF395C"/>
    <w:rsid w:val="00EF725D"/>
    <w:rsid w:val="00EF7A3C"/>
    <w:rsid w:val="00EF7BDE"/>
    <w:rsid w:val="00F000CC"/>
    <w:rsid w:val="00F00969"/>
    <w:rsid w:val="00F018A9"/>
    <w:rsid w:val="00F01A68"/>
    <w:rsid w:val="00F01E1E"/>
    <w:rsid w:val="00F0229E"/>
    <w:rsid w:val="00F04956"/>
    <w:rsid w:val="00F051A7"/>
    <w:rsid w:val="00F053BA"/>
    <w:rsid w:val="00F05CDD"/>
    <w:rsid w:val="00F06100"/>
    <w:rsid w:val="00F06FFB"/>
    <w:rsid w:val="00F07098"/>
    <w:rsid w:val="00F070A0"/>
    <w:rsid w:val="00F0745E"/>
    <w:rsid w:val="00F07A50"/>
    <w:rsid w:val="00F10EB5"/>
    <w:rsid w:val="00F11BA0"/>
    <w:rsid w:val="00F1235B"/>
    <w:rsid w:val="00F13A57"/>
    <w:rsid w:val="00F14A08"/>
    <w:rsid w:val="00F152AB"/>
    <w:rsid w:val="00F166B0"/>
    <w:rsid w:val="00F20BA4"/>
    <w:rsid w:val="00F232BA"/>
    <w:rsid w:val="00F25384"/>
    <w:rsid w:val="00F2620E"/>
    <w:rsid w:val="00F26EB5"/>
    <w:rsid w:val="00F2733E"/>
    <w:rsid w:val="00F27836"/>
    <w:rsid w:val="00F3012A"/>
    <w:rsid w:val="00F32D28"/>
    <w:rsid w:val="00F3331F"/>
    <w:rsid w:val="00F335D9"/>
    <w:rsid w:val="00F35ED2"/>
    <w:rsid w:val="00F3643C"/>
    <w:rsid w:val="00F41683"/>
    <w:rsid w:val="00F41845"/>
    <w:rsid w:val="00F41A2D"/>
    <w:rsid w:val="00F428BE"/>
    <w:rsid w:val="00F43297"/>
    <w:rsid w:val="00F4467A"/>
    <w:rsid w:val="00F449E9"/>
    <w:rsid w:val="00F47410"/>
    <w:rsid w:val="00F47F1C"/>
    <w:rsid w:val="00F503CA"/>
    <w:rsid w:val="00F50980"/>
    <w:rsid w:val="00F53939"/>
    <w:rsid w:val="00F53A91"/>
    <w:rsid w:val="00F53DD8"/>
    <w:rsid w:val="00F54CEB"/>
    <w:rsid w:val="00F56701"/>
    <w:rsid w:val="00F56B64"/>
    <w:rsid w:val="00F56DB8"/>
    <w:rsid w:val="00F61252"/>
    <w:rsid w:val="00F622AD"/>
    <w:rsid w:val="00F627A5"/>
    <w:rsid w:val="00F636A4"/>
    <w:rsid w:val="00F63F4E"/>
    <w:rsid w:val="00F64855"/>
    <w:rsid w:val="00F64C80"/>
    <w:rsid w:val="00F64FBB"/>
    <w:rsid w:val="00F664CC"/>
    <w:rsid w:val="00F66D7C"/>
    <w:rsid w:val="00F67188"/>
    <w:rsid w:val="00F70D1C"/>
    <w:rsid w:val="00F715D9"/>
    <w:rsid w:val="00F71786"/>
    <w:rsid w:val="00F717A9"/>
    <w:rsid w:val="00F71C99"/>
    <w:rsid w:val="00F71F41"/>
    <w:rsid w:val="00F72B4D"/>
    <w:rsid w:val="00F73573"/>
    <w:rsid w:val="00F73B05"/>
    <w:rsid w:val="00F74D70"/>
    <w:rsid w:val="00F75DD5"/>
    <w:rsid w:val="00F764FA"/>
    <w:rsid w:val="00F77296"/>
    <w:rsid w:val="00F772A0"/>
    <w:rsid w:val="00F776F9"/>
    <w:rsid w:val="00F80A47"/>
    <w:rsid w:val="00F80F89"/>
    <w:rsid w:val="00F81F87"/>
    <w:rsid w:val="00F8238B"/>
    <w:rsid w:val="00F82746"/>
    <w:rsid w:val="00F833ED"/>
    <w:rsid w:val="00F83A79"/>
    <w:rsid w:val="00F83BD1"/>
    <w:rsid w:val="00F845E6"/>
    <w:rsid w:val="00F856EC"/>
    <w:rsid w:val="00F864E8"/>
    <w:rsid w:val="00F908BB"/>
    <w:rsid w:val="00F90D67"/>
    <w:rsid w:val="00F92394"/>
    <w:rsid w:val="00F92F0B"/>
    <w:rsid w:val="00F955B8"/>
    <w:rsid w:val="00F95622"/>
    <w:rsid w:val="00F95FF6"/>
    <w:rsid w:val="00F97413"/>
    <w:rsid w:val="00FA3721"/>
    <w:rsid w:val="00FA4711"/>
    <w:rsid w:val="00FA47FB"/>
    <w:rsid w:val="00FA4A15"/>
    <w:rsid w:val="00FA6E7C"/>
    <w:rsid w:val="00FA7C0A"/>
    <w:rsid w:val="00FB03F8"/>
    <w:rsid w:val="00FB0BBC"/>
    <w:rsid w:val="00FB2B9D"/>
    <w:rsid w:val="00FB48E9"/>
    <w:rsid w:val="00FB516F"/>
    <w:rsid w:val="00FB5AC1"/>
    <w:rsid w:val="00FB72CB"/>
    <w:rsid w:val="00FC0DCE"/>
    <w:rsid w:val="00FC4237"/>
    <w:rsid w:val="00FC565D"/>
    <w:rsid w:val="00FC5D8D"/>
    <w:rsid w:val="00FC69C2"/>
    <w:rsid w:val="00FC7288"/>
    <w:rsid w:val="00FC7628"/>
    <w:rsid w:val="00FC78D9"/>
    <w:rsid w:val="00FD33FD"/>
    <w:rsid w:val="00FD34B9"/>
    <w:rsid w:val="00FD3805"/>
    <w:rsid w:val="00FD537E"/>
    <w:rsid w:val="00FD6446"/>
    <w:rsid w:val="00FE227F"/>
    <w:rsid w:val="00FE5491"/>
    <w:rsid w:val="00FE6536"/>
    <w:rsid w:val="00FE67A4"/>
    <w:rsid w:val="00FE78A8"/>
    <w:rsid w:val="00FE7AA5"/>
    <w:rsid w:val="00FF0A56"/>
    <w:rsid w:val="00FF18A8"/>
    <w:rsid w:val="00FF1B49"/>
    <w:rsid w:val="00FF3CB6"/>
    <w:rsid w:val="00FF3D21"/>
    <w:rsid w:val="00FF48B8"/>
    <w:rsid w:val="00FF4D41"/>
    <w:rsid w:val="00FF4D98"/>
    <w:rsid w:val="00FF6EF3"/>
    <w:rsid w:val="00FF7D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14:docId w14:val="2471C0DB"/>
  <w14:defaultImageDpi w14:val="330"/>
  <w15:docId w15:val="{EC55BD0E-8237-4C38-AC32-7011DC43D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7" w:qFormat="1"/>
    <w:lsdException w:name="heading 3" w:uiPriority="8"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6" w:unhideWhenUsed="1" w:qFormat="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0C71F4"/>
    <w:pPr>
      <w:spacing w:before="240" w:after="120" w:line="240" w:lineRule="atLeast"/>
    </w:pPr>
    <w:rPr>
      <w:sz w:val="20"/>
    </w:rPr>
  </w:style>
  <w:style w:type="paragraph" w:styleId="Heading1">
    <w:name w:val="heading 1"/>
    <w:next w:val="BodyText"/>
    <w:link w:val="Heading1Char"/>
    <w:uiPriority w:val="5"/>
    <w:qFormat/>
    <w:rsid w:val="00415F3B"/>
    <w:pPr>
      <w:keepNext/>
      <w:keepLines/>
      <w:numPr>
        <w:numId w:val="27"/>
      </w:numPr>
      <w:spacing w:after="0" w:line="240" w:lineRule="auto"/>
      <w:outlineLvl w:val="0"/>
    </w:pPr>
    <w:rPr>
      <w:rFonts w:asciiTheme="majorHAnsi" w:eastAsiaTheme="majorEastAsia" w:hAnsiTheme="majorHAnsi" w:cstheme="majorBidi"/>
      <w:b/>
      <w:bCs/>
      <w:color w:val="FFFFFF" w:themeColor="background1"/>
      <w:sz w:val="40"/>
      <w:szCs w:val="40"/>
    </w:rPr>
  </w:style>
  <w:style w:type="paragraph" w:styleId="Heading2">
    <w:name w:val="heading 2"/>
    <w:basedOn w:val="Heading1"/>
    <w:next w:val="BodyText"/>
    <w:link w:val="Heading2Char"/>
    <w:uiPriority w:val="5"/>
    <w:qFormat/>
    <w:rsid w:val="00415F3B"/>
    <w:pPr>
      <w:numPr>
        <w:ilvl w:val="1"/>
      </w:numPr>
      <w:spacing w:before="200" w:after="240"/>
      <w:ind w:left="0"/>
      <w:outlineLvl w:val="1"/>
    </w:pPr>
    <w:rPr>
      <w:b w:val="0"/>
      <w:bCs w:val="0"/>
      <w:spacing w:val="2"/>
      <w:szCs w:val="32"/>
    </w:rPr>
  </w:style>
  <w:style w:type="paragraph" w:styleId="Heading3">
    <w:name w:val="heading 3"/>
    <w:basedOn w:val="Heading2"/>
    <w:next w:val="BodyText"/>
    <w:link w:val="Heading3Char"/>
    <w:uiPriority w:val="5"/>
    <w:qFormat/>
    <w:rsid w:val="008B7736"/>
    <w:pPr>
      <w:numPr>
        <w:ilvl w:val="2"/>
      </w:numPr>
      <w:spacing w:before="360"/>
      <w:outlineLvl w:val="2"/>
    </w:pPr>
    <w:rPr>
      <w:bCs/>
      <w:color w:val="1C4483" w:themeColor="accent1"/>
      <w:szCs w:val="28"/>
    </w:rPr>
  </w:style>
  <w:style w:type="paragraph" w:styleId="Heading4">
    <w:name w:val="heading 4"/>
    <w:basedOn w:val="Heading3"/>
    <w:next w:val="BodyText"/>
    <w:link w:val="Heading4Char"/>
    <w:uiPriority w:val="6"/>
    <w:qFormat/>
    <w:rsid w:val="006A606D"/>
    <w:pPr>
      <w:numPr>
        <w:ilvl w:val="3"/>
      </w:numPr>
      <w:outlineLvl w:val="3"/>
    </w:pPr>
    <w:rPr>
      <w:bCs w:val="0"/>
      <w:iCs/>
      <w:sz w:val="30"/>
    </w:rPr>
  </w:style>
  <w:style w:type="paragraph" w:styleId="Heading5">
    <w:name w:val="heading 5"/>
    <w:basedOn w:val="Heading4"/>
    <w:next w:val="BodyText"/>
    <w:link w:val="Heading5Char"/>
    <w:uiPriority w:val="6"/>
    <w:qFormat/>
    <w:rsid w:val="006A606D"/>
    <w:pPr>
      <w:numPr>
        <w:ilvl w:val="4"/>
      </w:numPr>
      <w:outlineLvl w:val="4"/>
    </w:pPr>
    <w:rPr>
      <w:rFonts w:cstheme="minorHAnsi"/>
      <w:color w:val="00A2E2" w:themeColor="accent2"/>
      <w:sz w:val="28"/>
      <w:szCs w:val="24"/>
    </w:rPr>
  </w:style>
  <w:style w:type="paragraph" w:styleId="Heading6">
    <w:name w:val="heading 6"/>
    <w:aliases w:val="h6"/>
    <w:basedOn w:val="Heading5"/>
    <w:next w:val="BodyText"/>
    <w:link w:val="Heading6Char"/>
    <w:uiPriority w:val="6"/>
    <w:qFormat/>
    <w:rsid w:val="006A606D"/>
    <w:pPr>
      <w:numPr>
        <w:ilvl w:val="5"/>
      </w:numPr>
      <w:outlineLvl w:val="5"/>
    </w:pPr>
    <w:rPr>
      <w:iCs w:val="0"/>
      <w:color w:val="1C4483" w:themeColor="accent1"/>
      <w:sz w:val="26"/>
      <w:szCs w:val="22"/>
    </w:rPr>
  </w:style>
  <w:style w:type="paragraph" w:styleId="Heading7">
    <w:name w:val="heading 7"/>
    <w:basedOn w:val="Heading1"/>
    <w:next w:val="BodyText"/>
    <w:link w:val="Heading7Char"/>
    <w:uiPriority w:val="6"/>
    <w:qFormat/>
    <w:rsid w:val="0074214F"/>
    <w:pPr>
      <w:numPr>
        <w:numId w:val="0"/>
      </w:numPr>
      <w:tabs>
        <w:tab w:val="left" w:pos="2552"/>
      </w:tabs>
      <w:spacing w:before="360" w:after="240"/>
      <w:outlineLvl w:val="6"/>
    </w:pPr>
    <w:rPr>
      <w:b w:val="0"/>
      <w:iCs/>
      <w:color w:val="00A2E2" w:themeColor="accent2"/>
      <w:sz w:val="24"/>
    </w:rPr>
  </w:style>
  <w:style w:type="paragraph" w:styleId="Heading8">
    <w:name w:val="heading 8"/>
    <w:basedOn w:val="Heading7"/>
    <w:next w:val="BodyText"/>
    <w:link w:val="Heading8Char"/>
    <w:uiPriority w:val="10"/>
    <w:semiHidden/>
    <w:qFormat/>
    <w:rsid w:val="008C2524"/>
    <w:pPr>
      <w:numPr>
        <w:ilvl w:val="4"/>
      </w:numPr>
      <w:tabs>
        <w:tab w:val="clear" w:pos="2552"/>
      </w:tabs>
      <w:spacing w:before="480"/>
      <w:outlineLvl w:val="7"/>
    </w:pPr>
    <w:rPr>
      <w:sz w:val="36"/>
      <w:szCs w:val="20"/>
    </w:rPr>
  </w:style>
  <w:style w:type="paragraph" w:styleId="Heading9">
    <w:name w:val="heading 9"/>
    <w:basedOn w:val="Heading8"/>
    <w:next w:val="BodyText"/>
    <w:link w:val="Heading9Char"/>
    <w:uiPriority w:val="10"/>
    <w:semiHidden/>
    <w:qFormat/>
    <w:rsid w:val="0029614E"/>
    <w:pPr>
      <w:numPr>
        <w:ilvl w:val="0"/>
      </w:num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000EC1"/>
    <w:rPr>
      <w:rFonts w:asciiTheme="majorHAnsi" w:eastAsiaTheme="majorEastAsia" w:hAnsiTheme="majorHAnsi" w:cstheme="majorBidi"/>
      <w:b/>
      <w:bCs/>
      <w:color w:val="FFFFFF" w:themeColor="background1"/>
      <w:sz w:val="40"/>
      <w:szCs w:val="40"/>
    </w:rPr>
  </w:style>
  <w:style w:type="character" w:customStyle="1" w:styleId="Heading2Char">
    <w:name w:val="Heading 2 Char"/>
    <w:basedOn w:val="DefaultParagraphFont"/>
    <w:link w:val="Heading2"/>
    <w:uiPriority w:val="5"/>
    <w:rsid w:val="00415F3B"/>
    <w:rPr>
      <w:rFonts w:asciiTheme="majorHAnsi" w:eastAsiaTheme="majorEastAsia" w:hAnsiTheme="majorHAnsi" w:cstheme="majorBidi"/>
      <w:color w:val="FFFFFF" w:themeColor="background1"/>
      <w:spacing w:val="2"/>
      <w:sz w:val="40"/>
      <w:szCs w:val="32"/>
    </w:rPr>
  </w:style>
  <w:style w:type="character" w:customStyle="1" w:styleId="Heading3Char">
    <w:name w:val="Heading 3 Char"/>
    <w:basedOn w:val="DefaultParagraphFont"/>
    <w:link w:val="Heading3"/>
    <w:uiPriority w:val="5"/>
    <w:rsid w:val="001E331D"/>
    <w:rPr>
      <w:rFonts w:asciiTheme="majorHAnsi" w:eastAsiaTheme="majorEastAsia" w:hAnsiTheme="majorHAnsi" w:cstheme="majorBidi"/>
      <w:bCs/>
      <w:color w:val="1C4483" w:themeColor="accent1"/>
      <w:spacing w:val="2"/>
      <w:sz w:val="40"/>
      <w:szCs w:val="28"/>
    </w:rPr>
  </w:style>
  <w:style w:type="paragraph" w:styleId="Caption">
    <w:name w:val="caption"/>
    <w:aliases w:val="Caption Char1,Caption Char Char,appendix,TABLE,Map,Table Caption,Char,Figure,Caption Char1 Char Char Char,Caption: FIGURES,Char1, Char,ERM Figure Caption,ERM Figure CaptionA3,EIS Caption,Caption Body,table cpation,Caption Char1 Char Char"/>
    <w:basedOn w:val="Normal"/>
    <w:next w:val="Object"/>
    <w:uiPriority w:val="4"/>
    <w:qFormat/>
    <w:rsid w:val="00BF4CEC"/>
    <w:pPr>
      <w:keepNext/>
      <w:keepLines/>
      <w:spacing w:before="360" w:after="240" w:line="240" w:lineRule="auto"/>
      <w:ind w:left="1418" w:hanging="1418"/>
    </w:pPr>
    <w:rPr>
      <w:bCs/>
      <w:i/>
      <w:color w:val="25282A" w:themeColor="text2"/>
      <w:szCs w:val="20"/>
    </w:rPr>
  </w:style>
  <w:style w:type="paragraph" w:styleId="BodyText">
    <w:name w:val="Body Text"/>
    <w:basedOn w:val="Normal"/>
    <w:link w:val="BodyTextChar"/>
    <w:qFormat/>
    <w:rsid w:val="00205594"/>
    <w:pPr>
      <w:keepLines/>
    </w:pPr>
  </w:style>
  <w:style w:type="character" w:customStyle="1" w:styleId="BodyTextChar">
    <w:name w:val="Body Text Char"/>
    <w:basedOn w:val="DefaultParagraphFont"/>
    <w:link w:val="BodyText"/>
    <w:rsid w:val="003A4B1E"/>
    <w:rPr>
      <w:sz w:val="20"/>
    </w:rPr>
  </w:style>
  <w:style w:type="paragraph" w:styleId="TOC1">
    <w:name w:val="toc 1"/>
    <w:basedOn w:val="Normal"/>
    <w:next w:val="BodyText"/>
    <w:uiPriority w:val="39"/>
    <w:rsid w:val="006406FD"/>
    <w:pPr>
      <w:keepLines/>
      <w:tabs>
        <w:tab w:val="left" w:pos="851"/>
        <w:tab w:val="right" w:leader="dot" w:pos="9044"/>
      </w:tabs>
      <w:spacing w:after="60"/>
      <w:ind w:left="851" w:right="1701" w:hanging="851"/>
    </w:pPr>
    <w:rPr>
      <w:noProof/>
      <w:color w:val="1C4483" w:themeColor="accent1"/>
    </w:rPr>
  </w:style>
  <w:style w:type="paragraph" w:styleId="TOC2">
    <w:name w:val="toc 2"/>
    <w:basedOn w:val="TOC1"/>
    <w:next w:val="BodyText"/>
    <w:uiPriority w:val="39"/>
    <w:rsid w:val="00B61FF8"/>
    <w:pPr>
      <w:spacing w:after="240"/>
    </w:pPr>
  </w:style>
  <w:style w:type="paragraph" w:styleId="TOC3">
    <w:name w:val="toc 3"/>
    <w:basedOn w:val="TOC2"/>
    <w:next w:val="BodyText"/>
    <w:uiPriority w:val="39"/>
    <w:rsid w:val="00B61FF8"/>
    <w:pPr>
      <w:spacing w:before="120" w:after="60"/>
    </w:pPr>
  </w:style>
  <w:style w:type="paragraph" w:styleId="TOC4">
    <w:name w:val="toc 4"/>
    <w:basedOn w:val="TOC1"/>
    <w:next w:val="BodyText"/>
    <w:uiPriority w:val="39"/>
    <w:rsid w:val="00A64981"/>
    <w:pPr>
      <w:tabs>
        <w:tab w:val="left" w:pos="1985"/>
      </w:tabs>
      <w:spacing w:before="20" w:after="20"/>
      <w:ind w:left="1985" w:hanging="1134"/>
    </w:pPr>
    <w:rPr>
      <w:color w:val="808080" w:themeColor="background1" w:themeShade="80"/>
    </w:rPr>
  </w:style>
  <w:style w:type="paragraph" w:styleId="TOC5">
    <w:name w:val="toc 5"/>
    <w:basedOn w:val="TOC2"/>
    <w:next w:val="BodyText"/>
    <w:uiPriority w:val="39"/>
    <w:rsid w:val="00A64981"/>
    <w:pPr>
      <w:tabs>
        <w:tab w:val="clear" w:pos="851"/>
      </w:tabs>
      <w:ind w:firstLine="0"/>
    </w:pPr>
  </w:style>
  <w:style w:type="paragraph" w:styleId="TOC6">
    <w:name w:val="toc 6"/>
    <w:basedOn w:val="TOC3"/>
    <w:next w:val="BodyText"/>
    <w:uiPriority w:val="39"/>
    <w:rsid w:val="00A64981"/>
  </w:style>
  <w:style w:type="character" w:customStyle="1" w:styleId="Heading4Char">
    <w:name w:val="Heading 4 Char"/>
    <w:basedOn w:val="DefaultParagraphFont"/>
    <w:link w:val="Heading4"/>
    <w:uiPriority w:val="6"/>
    <w:rsid w:val="006A606D"/>
    <w:rPr>
      <w:rFonts w:asciiTheme="majorHAnsi" w:eastAsiaTheme="majorEastAsia" w:hAnsiTheme="majorHAnsi" w:cstheme="majorBidi"/>
      <w:iCs/>
      <w:color w:val="1C4483" w:themeColor="accent1"/>
      <w:spacing w:val="2"/>
      <w:sz w:val="30"/>
      <w:szCs w:val="28"/>
    </w:rPr>
  </w:style>
  <w:style w:type="paragraph" w:styleId="TOC7">
    <w:name w:val="toc 7"/>
    <w:basedOn w:val="TOC1"/>
    <w:next w:val="BodyText"/>
    <w:uiPriority w:val="39"/>
    <w:rsid w:val="000F2617"/>
    <w:pPr>
      <w:tabs>
        <w:tab w:val="clear" w:pos="851"/>
      </w:tabs>
      <w:spacing w:before="40" w:after="20"/>
      <w:ind w:left="1985" w:firstLine="0"/>
    </w:pPr>
  </w:style>
  <w:style w:type="character" w:customStyle="1" w:styleId="Heading5Char">
    <w:name w:val="Heading 5 Char"/>
    <w:basedOn w:val="DefaultParagraphFont"/>
    <w:link w:val="Heading5"/>
    <w:uiPriority w:val="6"/>
    <w:rsid w:val="006A606D"/>
    <w:rPr>
      <w:rFonts w:asciiTheme="majorHAnsi" w:eastAsiaTheme="majorEastAsia" w:hAnsiTheme="majorHAnsi" w:cstheme="minorHAnsi"/>
      <w:iCs/>
      <w:color w:val="00A2E2" w:themeColor="accent2"/>
      <w:spacing w:val="2"/>
      <w:sz w:val="28"/>
      <w:szCs w:val="24"/>
    </w:rPr>
  </w:style>
  <w:style w:type="paragraph" w:styleId="TOC8">
    <w:name w:val="toc 8"/>
    <w:basedOn w:val="TOC2"/>
    <w:next w:val="BodyText"/>
    <w:uiPriority w:val="39"/>
    <w:rsid w:val="000F2617"/>
    <w:pPr>
      <w:tabs>
        <w:tab w:val="clear" w:pos="851"/>
      </w:tabs>
      <w:spacing w:before="20" w:after="20"/>
      <w:ind w:left="2836"/>
    </w:pPr>
    <w:rPr>
      <w:color w:val="808080" w:themeColor="background1" w:themeShade="80"/>
    </w:rPr>
  </w:style>
  <w:style w:type="character" w:customStyle="1" w:styleId="Heading6Char">
    <w:name w:val="Heading 6 Char"/>
    <w:aliases w:val="h6 Char"/>
    <w:basedOn w:val="DefaultParagraphFont"/>
    <w:link w:val="Heading6"/>
    <w:uiPriority w:val="6"/>
    <w:rsid w:val="006A606D"/>
    <w:rPr>
      <w:rFonts w:asciiTheme="majorHAnsi" w:eastAsiaTheme="majorEastAsia" w:hAnsiTheme="majorHAnsi" w:cstheme="minorHAnsi"/>
      <w:color w:val="1C4483" w:themeColor="accent1"/>
      <w:spacing w:val="2"/>
      <w:sz w:val="26"/>
    </w:rPr>
  </w:style>
  <w:style w:type="paragraph" w:styleId="TOC9">
    <w:name w:val="toc 9"/>
    <w:basedOn w:val="TOC3"/>
    <w:next w:val="BodyText"/>
    <w:uiPriority w:val="39"/>
    <w:rsid w:val="00C02937"/>
  </w:style>
  <w:style w:type="paragraph" w:styleId="TOCHeading">
    <w:name w:val="TOC Heading"/>
    <w:basedOn w:val="Heading1NoNumber"/>
    <w:next w:val="BodyText"/>
    <w:uiPriority w:val="39"/>
    <w:qFormat/>
    <w:rsid w:val="00204EE2"/>
    <w:pPr>
      <w:outlineLvl w:val="9"/>
    </w:pPr>
  </w:style>
  <w:style w:type="paragraph" w:customStyle="1" w:styleId="BodyIndent2">
    <w:name w:val="Body Indent 2"/>
    <w:basedOn w:val="BodyBullet2"/>
    <w:uiPriority w:val="3"/>
    <w:qFormat/>
    <w:rsid w:val="00D47176"/>
    <w:pPr>
      <w:numPr>
        <w:ilvl w:val="0"/>
        <w:numId w:val="0"/>
      </w:numPr>
      <w:ind w:left="680"/>
    </w:pPr>
  </w:style>
  <w:style w:type="paragraph" w:customStyle="1" w:styleId="BodyIndent3">
    <w:name w:val="Body Indent 3"/>
    <w:basedOn w:val="BodyBullet3"/>
    <w:uiPriority w:val="3"/>
    <w:qFormat/>
    <w:rsid w:val="00D47176"/>
    <w:pPr>
      <w:numPr>
        <w:ilvl w:val="0"/>
        <w:numId w:val="0"/>
      </w:numPr>
      <w:ind w:left="1021"/>
    </w:pPr>
  </w:style>
  <w:style w:type="character" w:styleId="EndnoteReference">
    <w:name w:val="endnote reference"/>
    <w:basedOn w:val="DefaultParagraphFont"/>
    <w:uiPriority w:val="99"/>
    <w:qFormat/>
    <w:rsid w:val="000F3515"/>
    <w:rPr>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35ED2"/>
    <w:pPr>
      <w:keepNext w:val="0"/>
      <w:keepLines w:val="0"/>
      <w:spacing w:before="120" w:after="360"/>
      <w:ind w:left="0" w:firstLine="0"/>
    </w:pPr>
    <w:rPr>
      <w:color w:val="808080" w:themeColor="background1" w:themeShade="80"/>
      <w:sz w:val="18"/>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2"/>
    <w:qFormat/>
    <w:rsid w:val="006953AF"/>
    <w:pPr>
      <w:numPr>
        <w:numId w:val="25"/>
      </w:numPr>
      <w:spacing w:before="60" w:after="60" w:line="240" w:lineRule="auto"/>
    </w:pPr>
    <w:rPr>
      <w:sz w:val="18"/>
      <w:szCs w:val="20"/>
    </w:rPr>
  </w:style>
  <w:style w:type="paragraph" w:styleId="EndnoteText">
    <w:name w:val="endnote text"/>
    <w:basedOn w:val="Normal"/>
    <w:link w:val="EndnoteTextChar"/>
    <w:uiPriority w:val="99"/>
    <w:qFormat/>
    <w:rsid w:val="00230CF8"/>
    <w:pPr>
      <w:spacing w:before="60" w:after="60" w:line="240" w:lineRule="auto"/>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99"/>
    <w:rsid w:val="00230CF8"/>
    <w:rPr>
      <w:sz w:val="18"/>
      <w:szCs w:val="18"/>
    </w:rPr>
  </w:style>
  <w:style w:type="paragraph" w:styleId="Footer">
    <w:name w:val="footer"/>
    <w:basedOn w:val="Normal"/>
    <w:link w:val="FooterChar"/>
    <w:uiPriority w:val="99"/>
    <w:qFormat/>
    <w:rsid w:val="00BD5D52"/>
    <w:pPr>
      <w:spacing w:before="720" w:line="240" w:lineRule="auto"/>
    </w:pPr>
    <w:rPr>
      <w:rFonts w:asciiTheme="majorHAnsi" w:hAnsiTheme="majorHAnsi" w:cstheme="minorHAnsi"/>
      <w:noProof/>
      <w:color w:val="1C4483" w:themeColor="accent1"/>
      <w:sz w:val="18"/>
      <w:szCs w:val="18"/>
    </w:rPr>
  </w:style>
  <w:style w:type="character" w:customStyle="1" w:styleId="FooterChar">
    <w:name w:val="Footer Char"/>
    <w:basedOn w:val="DefaultParagraphFont"/>
    <w:link w:val="Footer"/>
    <w:uiPriority w:val="99"/>
    <w:rsid w:val="00BD5D52"/>
    <w:rPr>
      <w:rFonts w:asciiTheme="majorHAnsi" w:hAnsiTheme="majorHAnsi" w:cstheme="minorHAnsi"/>
      <w:noProof/>
      <w:color w:val="1C4483" w:themeColor="accent1"/>
      <w:sz w:val="18"/>
      <w:szCs w:val="18"/>
    </w:rPr>
  </w:style>
  <w:style w:type="character" w:styleId="FootnoteReference">
    <w:name w:val="footnote reference"/>
    <w:aliases w:val="Text Footnote Reference"/>
    <w:basedOn w:val="DefaultParagraphFont"/>
    <w:uiPriority w:val="99"/>
    <w:qFormat/>
    <w:rsid w:val="00147E56"/>
    <w:rPr>
      <w:vertAlign w:val="superscript"/>
    </w:rPr>
  </w:style>
  <w:style w:type="paragraph" w:styleId="FootnoteText">
    <w:name w:val="footnote text"/>
    <w:basedOn w:val="Normal"/>
    <w:link w:val="FootnoteTextChar"/>
    <w:uiPriority w:val="99"/>
    <w:qFormat/>
    <w:rsid w:val="00230CF8"/>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230CF8"/>
    <w:rPr>
      <w:sz w:val="18"/>
      <w:szCs w:val="18"/>
    </w:rPr>
  </w:style>
  <w:style w:type="paragraph" w:styleId="Header">
    <w:name w:val="header"/>
    <w:basedOn w:val="Normal"/>
    <w:link w:val="HeaderChar"/>
    <w:uiPriority w:val="99"/>
    <w:qFormat/>
    <w:rsid w:val="0014525F"/>
    <w:pPr>
      <w:spacing w:before="0" w:after="680" w:line="240" w:lineRule="auto"/>
    </w:pPr>
    <w:rPr>
      <w:rFonts w:ascii="Century Gothic" w:hAnsi="Century Gothic"/>
      <w:color w:val="1C4483" w:themeColor="accent1"/>
      <w:sz w:val="24"/>
      <w:szCs w:val="18"/>
    </w:rPr>
  </w:style>
  <w:style w:type="character" w:customStyle="1" w:styleId="HeaderChar">
    <w:name w:val="Header Char"/>
    <w:basedOn w:val="DefaultParagraphFont"/>
    <w:link w:val="Header"/>
    <w:uiPriority w:val="99"/>
    <w:rsid w:val="0014525F"/>
    <w:rPr>
      <w:rFonts w:ascii="Century Gothic" w:hAnsi="Century Gothic"/>
      <w:color w:val="1C4483" w:themeColor="accent1"/>
      <w:sz w:val="24"/>
      <w:szCs w:val="18"/>
    </w:rPr>
  </w:style>
  <w:style w:type="character" w:styleId="Hyperlink">
    <w:name w:val="Hyperlink"/>
    <w:basedOn w:val="DefaultParagraphFont"/>
    <w:uiPriority w:val="99"/>
    <w:qFormat/>
    <w:rsid w:val="006D745A"/>
    <w:rPr>
      <w:color w:val="7F7F7F" w:themeColor="text1" w:themeTint="80"/>
    </w:rPr>
  </w:style>
  <w:style w:type="paragraph" w:styleId="ListNumber">
    <w:name w:val="List Number"/>
    <w:basedOn w:val="BodyText"/>
    <w:uiPriority w:val="99"/>
    <w:semiHidden/>
    <w:rsid w:val="00147E56"/>
    <w:pPr>
      <w:numPr>
        <w:numId w:val="4"/>
      </w:numPr>
      <w:contextualSpacing/>
    </w:pPr>
  </w:style>
  <w:style w:type="paragraph" w:styleId="ListNumber2">
    <w:name w:val="List Number 2"/>
    <w:basedOn w:val="ListNumber"/>
    <w:uiPriority w:val="99"/>
    <w:semiHidden/>
    <w:rsid w:val="00147E56"/>
    <w:pPr>
      <w:numPr>
        <w:numId w:val="5"/>
      </w:numPr>
    </w:pPr>
  </w:style>
  <w:style w:type="paragraph" w:styleId="ListNumber3">
    <w:name w:val="List Number 3"/>
    <w:basedOn w:val="List2"/>
    <w:uiPriority w:val="99"/>
    <w:semiHidden/>
    <w:rsid w:val="00147E56"/>
    <w:pPr>
      <w:numPr>
        <w:numId w:val="6"/>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390A09"/>
    <w:pPr>
      <w:spacing w:before="60"/>
      <w:ind w:left="1134" w:hanging="1134"/>
    </w:pPr>
    <w:rPr>
      <w:color w:val="000000" w:themeColor="text1"/>
    </w:rPr>
  </w:style>
  <w:style w:type="character" w:customStyle="1" w:styleId="Heading7Char">
    <w:name w:val="Heading 7 Char"/>
    <w:basedOn w:val="DefaultParagraphFont"/>
    <w:link w:val="Heading7"/>
    <w:uiPriority w:val="6"/>
    <w:rsid w:val="0074214F"/>
    <w:rPr>
      <w:rFonts w:asciiTheme="majorHAnsi" w:eastAsiaTheme="majorEastAsia" w:hAnsiTheme="majorHAnsi" w:cstheme="majorBidi"/>
      <w:bCs/>
      <w:iCs/>
      <w:color w:val="00A2E2" w:themeColor="accent2"/>
      <w:sz w:val="24"/>
      <w:szCs w:val="40"/>
    </w:rPr>
  </w:style>
  <w:style w:type="paragraph" w:customStyle="1" w:styleId="TableBullet1">
    <w:name w:val="Table Bullet 1"/>
    <w:basedOn w:val="TableText"/>
    <w:uiPriority w:val="7"/>
    <w:qFormat/>
    <w:rsid w:val="00C219C7"/>
    <w:pPr>
      <w:numPr>
        <w:numId w:val="16"/>
      </w:numPr>
    </w:pPr>
  </w:style>
  <w:style w:type="paragraph" w:customStyle="1" w:styleId="TableBullet2">
    <w:name w:val="Table Bullet 2"/>
    <w:basedOn w:val="TableBullet1"/>
    <w:qFormat/>
    <w:rsid w:val="00C219C7"/>
    <w:pPr>
      <w:numPr>
        <w:ilvl w:val="1"/>
      </w:numPr>
    </w:pPr>
  </w:style>
  <w:style w:type="paragraph" w:customStyle="1" w:styleId="BodyNumbering1">
    <w:name w:val="Body Numbering 1"/>
    <w:basedOn w:val="BodyBullet1"/>
    <w:uiPriority w:val="9"/>
    <w:qFormat/>
    <w:rsid w:val="00320D25"/>
    <w:pPr>
      <w:numPr>
        <w:ilvl w:val="6"/>
        <w:numId w:val="27"/>
      </w:numPr>
    </w:pPr>
  </w:style>
  <w:style w:type="paragraph" w:customStyle="1" w:styleId="BodyNumbering2">
    <w:name w:val="Body Numbering 2"/>
    <w:basedOn w:val="BodyNumbering1"/>
    <w:uiPriority w:val="9"/>
    <w:qFormat/>
    <w:rsid w:val="00E43A9F"/>
    <w:pPr>
      <w:numPr>
        <w:ilvl w:val="7"/>
      </w:numPr>
    </w:pPr>
  </w:style>
  <w:style w:type="paragraph" w:customStyle="1" w:styleId="BodyBullet1">
    <w:name w:val="Body Bullet 1"/>
    <w:basedOn w:val="BodyText"/>
    <w:uiPriority w:val="1"/>
    <w:qFormat/>
    <w:rsid w:val="004F4EF2"/>
    <w:pPr>
      <w:numPr>
        <w:numId w:val="12"/>
      </w:numPr>
      <w:spacing w:before="120"/>
    </w:pPr>
  </w:style>
  <w:style w:type="paragraph" w:customStyle="1" w:styleId="BodyBullet2">
    <w:name w:val="Body Bullet 2"/>
    <w:basedOn w:val="BodyBullet1"/>
    <w:uiPriority w:val="1"/>
    <w:qFormat/>
    <w:rsid w:val="004F4EF2"/>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
    <w:qFormat/>
    <w:rsid w:val="00E43A9F"/>
    <w:pPr>
      <w:numPr>
        <w:ilvl w:val="8"/>
      </w:numPr>
    </w:pPr>
  </w:style>
  <w:style w:type="paragraph" w:customStyle="1" w:styleId="BodyIndent1">
    <w:name w:val="Body Indent 1"/>
    <w:basedOn w:val="BodyBullet1"/>
    <w:uiPriority w:val="8"/>
    <w:qFormat/>
    <w:rsid w:val="0088661B"/>
    <w:pPr>
      <w:numPr>
        <w:numId w:val="0"/>
      </w:numPr>
      <w:ind w:left="340"/>
    </w:pPr>
  </w:style>
  <w:style w:type="paragraph" w:customStyle="1" w:styleId="TableBullet3">
    <w:name w:val="Table Bullet 3"/>
    <w:basedOn w:val="TableBullet2"/>
    <w:uiPriority w:val="7"/>
    <w:qFormat/>
    <w:rsid w:val="00C219C7"/>
    <w:pPr>
      <w:numPr>
        <w:ilvl w:val="2"/>
      </w:numPr>
    </w:pPr>
  </w:style>
  <w:style w:type="paragraph" w:customStyle="1" w:styleId="TableNumbering1">
    <w:name w:val="Table Numbering 1"/>
    <w:basedOn w:val="TableBullet1"/>
    <w:uiPriority w:val="8"/>
    <w:qFormat/>
    <w:rsid w:val="005C44B4"/>
    <w:pPr>
      <w:numPr>
        <w:numId w:val="31"/>
      </w:numPr>
    </w:pPr>
  </w:style>
  <w:style w:type="paragraph" w:customStyle="1" w:styleId="TableNumbering2">
    <w:name w:val="Table Numbering 2"/>
    <w:basedOn w:val="TableNumbering1"/>
    <w:uiPriority w:val="8"/>
    <w:qFormat/>
    <w:rsid w:val="005C44B4"/>
    <w:pPr>
      <w:numPr>
        <w:ilvl w:val="1"/>
      </w:numPr>
    </w:pPr>
  </w:style>
  <w:style w:type="paragraph" w:customStyle="1" w:styleId="TableNumbering3">
    <w:name w:val="Table Numbering 3"/>
    <w:basedOn w:val="TableNumbering2"/>
    <w:uiPriority w:val="8"/>
    <w:qFormat/>
    <w:rsid w:val="005C44B4"/>
    <w:pPr>
      <w:numPr>
        <w:ilvl w:val="2"/>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55B55"/>
    <w:pPr>
      <w:spacing w:after="0" w:line="240" w:lineRule="auto"/>
    </w:pPr>
    <w:rPr>
      <w:sz w:val="20"/>
    </w:rPr>
    <w:tblPr>
      <w:tblBorders>
        <w:top w:val="single" w:sz="4" w:space="0" w:color="8B9499" w:themeColor="text2" w:themeTint="80"/>
        <w:bottom w:val="single" w:sz="4" w:space="0" w:color="8B9499" w:themeColor="text2" w:themeTint="80"/>
        <w:insideH w:val="single" w:sz="4" w:space="0" w:color="8B9499" w:themeColor="text2" w:themeTint="80"/>
        <w:insideV w:val="single" w:sz="4" w:space="0" w:color="8B9499" w:themeColor="text2" w:themeTint="80"/>
      </w:tblBorders>
    </w:tblPr>
    <w:tblStylePr w:type="firstRow">
      <w:pPr>
        <w:keepNext/>
        <w:keepLines/>
        <w:widowControl/>
        <w:wordWrap/>
        <w:jc w:val="left"/>
      </w:pPr>
      <w:rPr>
        <w:b w:val="0"/>
        <w:color w:val="FFFFFF" w:themeColor="background1"/>
      </w:rPr>
      <w:tblPr/>
      <w:trPr>
        <w:cantSplit/>
        <w:tblHeader/>
      </w:trPr>
      <w:tcPr>
        <w:tc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nil"/>
          <w:insideV w:val="single" w:sz="4" w:space="0" w:color="FFFFFF" w:themeColor="background1"/>
          <w:tl2br w:val="nil"/>
          <w:tr2bl w:val="nil"/>
        </w:tcBorders>
        <w:shd w:val="clear" w:color="auto" w:fill="1C4483" w:themeFill="accent1"/>
        <w:vAlign w:val="bottom"/>
      </w:tcPr>
    </w:tblStylePr>
    <w:tblStylePr w:type="lastRow">
      <w:pPr>
        <w:keepLines/>
        <w:widowControl/>
        <w:wordWrap/>
        <w:jc w:val="left"/>
      </w:pPr>
      <w:rPr>
        <w:b/>
      </w:rPr>
      <w:tblPr/>
      <w:tcPr>
        <w:tcBorders>
          <w:top w:val="single" w:sz="4" w:space="0" w:color="1C4483" w:themeColor="accent1"/>
          <w:left w:val="nil"/>
          <w:bottom w:val="single" w:sz="4" w:space="0" w:color="1C4483" w:themeColor="accent1"/>
          <w:right w:val="nil"/>
          <w:insideH w:val="single" w:sz="4" w:space="0" w:color="1C4483" w:themeColor="accent1"/>
          <w:insideV w:val="single" w:sz="4" w:space="0" w:color="8B9499" w:themeColor="text2" w:themeTint="80"/>
          <w:tl2br w:val="nil"/>
          <w:tr2bl w:val="nil"/>
        </w:tcBorders>
        <w:shd w:val="clear" w:color="auto" w:fill="C5C9CC" w:themeFill="text2" w:themeFillTint="40"/>
      </w:tcPr>
    </w:tblStylePr>
    <w:tblStylePr w:type="firstCol">
      <w:tblPr/>
      <w:tcPr>
        <w:tcBorders>
          <w:top w:val="single" w:sz="4" w:space="0" w:color="8B9499" w:themeColor="text2" w:themeTint="80"/>
          <w:left w:val="nil"/>
          <w:bottom w:val="single" w:sz="4" w:space="0" w:color="8B9499" w:themeColor="text2" w:themeTint="80"/>
          <w:right w:val="nil"/>
          <w:insideH w:val="single" w:sz="4" w:space="0" w:color="8B9499" w:themeColor="text2" w:themeTint="80"/>
          <w:insideV w:val="nil"/>
          <w:tl2br w:val="nil"/>
          <w:tr2bl w:val="nil"/>
        </w:tcBorders>
        <w:shd w:val="clear" w:color="auto" w:fill="E7E9EA" w:themeFill="text2" w:themeFillTint="1A"/>
      </w:tcPr>
    </w:tblStylePr>
  </w:style>
  <w:style w:type="paragraph" w:customStyle="1" w:styleId="BodyTextSingleSpacing">
    <w:name w:val="Body Text Single Spacing"/>
    <w:basedOn w:val="BodyText"/>
    <w:uiPriority w:val="14"/>
    <w:qFormat/>
    <w:rsid w:val="00521453"/>
    <w:pPr>
      <w:spacing w:before="0" w:after="0"/>
    </w:pPr>
  </w:style>
  <w:style w:type="table" w:customStyle="1" w:styleId="RowMainTableStyle">
    <w:name w:val="Row Main Table Style"/>
    <w:basedOn w:val="TableNormal"/>
    <w:uiPriority w:val="99"/>
    <w:rsid w:val="00AE1AAA"/>
    <w:pPr>
      <w:spacing w:after="0" w:line="240" w:lineRule="auto"/>
    </w:pPr>
    <w:rPr>
      <w:sz w:val="20"/>
    </w:rPr>
    <w:tblPr>
      <w:tblBorders>
        <w:top w:val="single" w:sz="4" w:space="0" w:color="8B9499" w:themeColor="text2" w:themeTint="80"/>
        <w:bottom w:val="single" w:sz="4" w:space="0" w:color="8B9499" w:themeColor="text2" w:themeTint="80"/>
        <w:insideH w:val="single" w:sz="4" w:space="0" w:color="8B9499" w:themeColor="text2" w:themeTint="80"/>
        <w:insideV w:val="single" w:sz="4" w:space="0" w:color="8B9499" w:themeColor="text2" w:themeTint="80"/>
      </w:tblBorders>
    </w:tblPr>
    <w:tblStylePr w:type="firstRow">
      <w:pPr>
        <w:keepNext/>
        <w:keepLines/>
        <w:widowControl/>
        <w:wordWrap/>
        <w:jc w:val="left"/>
      </w:pPr>
      <w:rPr>
        <w:b w:val="0"/>
        <w:i w:val="0"/>
        <w:color w:val="1C4483" w:themeColor="accent1"/>
      </w:rPr>
      <w:tblPr/>
      <w:trPr>
        <w:tblHeader/>
      </w:trPr>
      <w:tcPr>
        <w:tcBorders>
          <w:top w:val="nil"/>
          <w:left w:val="nil"/>
          <w:bottom w:val="single" w:sz="12" w:space="0" w:color="1C4483" w:themeColor="accent1"/>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shd w:val="clear" w:color="auto" w:fill="E7E9EA" w:themeFill="text2" w:themeFillTint="1A"/>
      </w:tcPr>
    </w:tblStylePr>
    <w:tblStylePr w:type="firstCol">
      <w:pPr>
        <w:keepLines w:val="0"/>
        <w:widowControl/>
        <w:wordWrap/>
      </w:pPr>
      <w:rPr>
        <w:b w:val="0"/>
        <w:i w:val="0"/>
        <w:color w:val="1C4483" w:themeColor="accent1"/>
      </w:rPr>
      <w:tblPr/>
      <w:tcPr>
        <w:tcBorders>
          <w:top w:val="single" w:sz="4" w:space="0" w:color="8B9499" w:themeColor="text2" w:themeTint="80"/>
          <w:left w:val="nil"/>
          <w:bottom w:val="single" w:sz="4" w:space="0" w:color="8B9499" w:themeColor="text2" w:themeTint="80"/>
          <w:right w:val="nil"/>
          <w:insideH w:val="single" w:sz="4" w:space="0" w:color="8B9499" w:themeColor="text2" w:themeTint="80"/>
          <w:insideV w:val="nil"/>
          <w:tl2br w:val="nil"/>
          <w:tr2bl w:val="nil"/>
        </w:tcBorders>
        <w:shd w:val="clear" w:color="auto" w:fill="C5C9CC" w:themeFill="text2" w:themeFillTint="40"/>
      </w:tcPr>
    </w:tblStylePr>
  </w:style>
  <w:style w:type="character" w:customStyle="1" w:styleId="CharacterStyle-BaseColour">
    <w:name w:val="Character Style - Base Colour"/>
    <w:basedOn w:val="DefaultParagraphFont"/>
    <w:uiPriority w:val="99"/>
    <w:qFormat/>
    <w:rsid w:val="001F4DC3"/>
    <w:rPr>
      <w:color w:val="1C4483" w:themeColor="accent1"/>
    </w:rPr>
  </w:style>
  <w:style w:type="character" w:customStyle="1" w:styleId="CharacterStyle-BrightColour">
    <w:name w:val="Character Style - Bright Colour"/>
    <w:uiPriority w:val="99"/>
    <w:qFormat/>
    <w:rsid w:val="001F4DC3"/>
    <w:rPr>
      <w:color w:val="00A2E2" w:themeColor="accent2"/>
    </w:rPr>
  </w:style>
  <w:style w:type="paragraph" w:customStyle="1" w:styleId="CoverTitle">
    <w:name w:val="Cover Title"/>
    <w:basedOn w:val="Normal"/>
    <w:next w:val="CoverSubtitle"/>
    <w:uiPriority w:val="99"/>
    <w:qFormat/>
    <w:rsid w:val="000A5911"/>
    <w:pPr>
      <w:spacing w:before="2040"/>
    </w:pPr>
    <w:rPr>
      <w:rFonts w:asciiTheme="majorHAnsi" w:hAnsiTheme="majorHAnsi"/>
      <w:color w:val="25282A" w:themeColor="text2"/>
      <w:sz w:val="96"/>
    </w:rPr>
  </w:style>
  <w:style w:type="paragraph" w:customStyle="1" w:styleId="CoverSubtitle">
    <w:name w:val="Cover Subtitle"/>
    <w:basedOn w:val="Normal"/>
    <w:next w:val="CoverDate"/>
    <w:uiPriority w:val="99"/>
    <w:qFormat/>
    <w:rsid w:val="000A5911"/>
    <w:pPr>
      <w:spacing w:after="480"/>
    </w:pPr>
    <w:rPr>
      <w:rFonts w:asciiTheme="majorHAnsi" w:hAnsiTheme="majorHAnsi"/>
      <w:color w:val="1C4483" w:themeColor="accent1"/>
      <w:sz w:val="72"/>
      <w:szCs w:val="76"/>
    </w:rPr>
  </w:style>
  <w:style w:type="paragraph" w:customStyle="1" w:styleId="CoverDate">
    <w:name w:val="Cover Date"/>
    <w:basedOn w:val="Normal"/>
    <w:next w:val="BodyText"/>
    <w:uiPriority w:val="99"/>
    <w:qFormat/>
    <w:rsid w:val="006032EB"/>
    <w:rPr>
      <w:rFonts w:asciiTheme="majorHAnsi" w:hAnsiTheme="majorHAnsi"/>
      <w:color w:val="1C4483" w:themeColor="accent1"/>
      <w:sz w:val="48"/>
      <w:szCs w:val="48"/>
    </w:rPr>
  </w:style>
  <w:style w:type="paragraph" w:customStyle="1" w:styleId="Spacer">
    <w:name w:val="Spacer"/>
    <w:basedOn w:val="BodyTextSingleSpacing"/>
    <w:uiPriority w:val="9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customStyle="1" w:styleId="Heading1NoNumber">
    <w:name w:val="Heading 1 No Number"/>
    <w:basedOn w:val="Heading1"/>
    <w:next w:val="BodyText"/>
    <w:uiPriority w:val="10"/>
    <w:qFormat/>
    <w:rsid w:val="00292FEF"/>
    <w:pPr>
      <w:numPr>
        <w:numId w:val="0"/>
      </w:numPr>
      <w:spacing w:before="480" w:after="360"/>
    </w:pPr>
    <w:rPr>
      <w:b w:val="0"/>
      <w:color w:val="1C4483" w:themeColor="accent1"/>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paragraph" w:customStyle="1" w:styleId="CitationText">
    <w:name w:val="Citation Text"/>
    <w:basedOn w:val="BodyText"/>
    <w:uiPriority w:val="99"/>
    <w:qFormat/>
    <w:rsid w:val="007608D2"/>
    <w:pPr>
      <w:spacing w:before="360" w:after="360"/>
    </w:pPr>
    <w:rPr>
      <w:color w:val="00A2E2" w:themeColor="accent2"/>
      <w:sz w:val="24"/>
    </w:rPr>
  </w:style>
  <w:style w:type="character" w:customStyle="1" w:styleId="Heading8Char">
    <w:name w:val="Heading 8 Char"/>
    <w:basedOn w:val="DefaultParagraphFont"/>
    <w:link w:val="Heading8"/>
    <w:uiPriority w:val="10"/>
    <w:semiHidden/>
    <w:rsid w:val="00F56701"/>
    <w:rPr>
      <w:rFonts w:asciiTheme="majorHAnsi" w:eastAsiaTheme="majorEastAsia" w:hAnsiTheme="majorHAnsi" w:cstheme="majorBidi"/>
      <w:b/>
      <w:bCs/>
      <w:iCs/>
      <w:color w:val="25282A" w:themeColor="text2"/>
      <w:sz w:val="36"/>
      <w:szCs w:val="20"/>
    </w:rPr>
  </w:style>
  <w:style w:type="character" w:customStyle="1" w:styleId="Heading9Char">
    <w:name w:val="Heading 9 Char"/>
    <w:basedOn w:val="DefaultParagraphFont"/>
    <w:link w:val="Heading9"/>
    <w:uiPriority w:val="10"/>
    <w:semiHidden/>
    <w:rsid w:val="00F56701"/>
    <w:rPr>
      <w:rFonts w:asciiTheme="majorHAnsi" w:eastAsiaTheme="majorEastAsia" w:hAnsiTheme="majorHAnsi" w:cstheme="majorBidi"/>
      <w:b/>
      <w:bCs/>
      <w:color w:val="25282A" w:themeColor="text2"/>
      <w:sz w:val="32"/>
      <w:szCs w:val="20"/>
    </w:rPr>
  </w:style>
  <w:style w:type="paragraph" w:customStyle="1" w:styleId="Object">
    <w:name w:val="Object"/>
    <w:basedOn w:val="Normal"/>
    <w:next w:val="BodyText"/>
    <w:uiPriority w:val="99"/>
    <w:qFormat/>
    <w:rsid w:val="00E42F92"/>
    <w:pPr>
      <w:spacing w:after="360" w:line="240" w:lineRule="auto"/>
    </w:pPr>
    <w:rPr>
      <w:color w:val="000000" w:themeColor="text1"/>
    </w:rPr>
  </w:style>
  <w:style w:type="character" w:styleId="PlaceholderText">
    <w:name w:val="Placeholder Text"/>
    <w:basedOn w:val="DefaultParagraphFont"/>
    <w:uiPriority w:val="99"/>
    <w:rsid w:val="006032EB"/>
    <w:rPr>
      <w:vanish w:val="0"/>
      <w:color w:val="7F7F7F" w:themeColor="text1" w:themeTint="80"/>
    </w:rPr>
  </w:style>
  <w:style w:type="paragraph" w:styleId="Quote">
    <w:name w:val="Quote"/>
    <w:basedOn w:val="BodyText"/>
    <w:next w:val="BodyText"/>
    <w:link w:val="QuoteChar"/>
    <w:uiPriority w:val="99"/>
    <w:qFormat/>
    <w:rsid w:val="001B4DF5"/>
    <w:pPr>
      <w:pBdr>
        <w:left w:val="single" w:sz="12" w:space="16" w:color="00A2E2" w:themeColor="accent2"/>
      </w:pBdr>
      <w:spacing w:after="240" w:line="360" w:lineRule="atLeast"/>
      <w:ind w:left="680" w:right="680"/>
    </w:pPr>
    <w:rPr>
      <w:rFonts w:asciiTheme="majorHAnsi" w:hAnsiTheme="majorHAnsi"/>
      <w:i/>
      <w:iCs/>
      <w:color w:val="00A2E2" w:themeColor="accent2"/>
      <w:sz w:val="18"/>
    </w:rPr>
  </w:style>
  <w:style w:type="character" w:customStyle="1" w:styleId="QuoteChar">
    <w:name w:val="Quote Char"/>
    <w:basedOn w:val="DefaultParagraphFont"/>
    <w:link w:val="Quote"/>
    <w:uiPriority w:val="99"/>
    <w:rsid w:val="001B4DF5"/>
    <w:rPr>
      <w:rFonts w:asciiTheme="majorHAnsi" w:hAnsiTheme="majorHAnsi"/>
      <w:i/>
      <w:iCs/>
      <w:color w:val="00A2E2" w:themeColor="accent2"/>
      <w:sz w:val="18"/>
    </w:rPr>
  </w:style>
  <w:style w:type="paragraph" w:customStyle="1" w:styleId="PageNo">
    <w:name w:val="Page No"/>
    <w:basedOn w:val="Normal"/>
    <w:link w:val="PageNoChar"/>
    <w:uiPriority w:val="99"/>
    <w:qFormat/>
    <w:rsid w:val="00277ABE"/>
    <w:pPr>
      <w:spacing w:before="860" w:line="240" w:lineRule="auto"/>
      <w:jc w:val="right"/>
    </w:pPr>
    <w:rPr>
      <w:color w:val="1C4483" w:themeColor="accent1"/>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277ABE"/>
    <w:rPr>
      <w:rFonts w:asciiTheme="majorHAnsi" w:hAnsiTheme="majorHAnsi" w:cstheme="minorHAnsi"/>
      <w:noProof/>
      <w:color w:val="1C4483" w:themeColor="accent1"/>
      <w:sz w:val="18"/>
      <w:szCs w:val="18"/>
    </w:rPr>
  </w:style>
  <w:style w:type="character" w:customStyle="1" w:styleId="Footerbarspacer">
    <w:name w:val="Footer bar spacer"/>
    <w:basedOn w:val="DefaultParagraphFont"/>
    <w:uiPriority w:val="1"/>
    <w:qFormat/>
    <w:rsid w:val="004F4EF2"/>
    <w:rPr>
      <w:color w:val="808080" w:themeColor="background1" w:themeShade="80"/>
      <w:spacing w:val="20"/>
    </w:rPr>
  </w:style>
  <w:style w:type="character" w:customStyle="1" w:styleId="Highlight">
    <w:name w:val="_Highlight"/>
    <w:basedOn w:val="DefaultParagraphFont"/>
    <w:uiPriority w:val="4"/>
    <w:qFormat/>
    <w:rsid w:val="00962971"/>
    <w:rPr>
      <w:bdr w:val="none" w:sz="0" w:space="0" w:color="auto"/>
      <w:shd w:val="clear" w:color="auto" w:fill="FFFF00"/>
    </w:rPr>
  </w:style>
  <w:style w:type="paragraph" w:customStyle="1" w:styleId="Heading1ChapterNumber">
    <w:name w:val="Heading 1 Chapter Number"/>
    <w:basedOn w:val="Heading1"/>
    <w:next w:val="Heading1"/>
    <w:uiPriority w:val="99"/>
    <w:qFormat/>
    <w:rsid w:val="00767C1E"/>
    <w:pPr>
      <w:numPr>
        <w:numId w:val="0"/>
      </w:numPr>
      <w:spacing w:before="600"/>
    </w:pPr>
    <w:rPr>
      <w:b w:val="0"/>
    </w:rPr>
  </w:style>
  <w:style w:type="paragraph" w:customStyle="1" w:styleId="Chapterimage">
    <w:name w:val="Chapter image"/>
    <w:basedOn w:val="BodyText"/>
    <w:uiPriority w:val="99"/>
    <w:qFormat/>
    <w:rsid w:val="00E8026F"/>
    <w:pPr>
      <w:spacing w:before="0" w:after="3600" w:line="240" w:lineRule="auto"/>
    </w:pPr>
    <w:rPr>
      <w:noProof/>
    </w:rPr>
  </w:style>
  <w:style w:type="character" w:customStyle="1" w:styleId="Removedirectformatting">
    <w:name w:val="_ Remove direct formatting"/>
    <w:basedOn w:val="Highlight"/>
    <w:uiPriority w:val="5"/>
    <w:qFormat/>
    <w:rsid w:val="00962971"/>
    <w:rPr>
      <w:bdr w:val="none" w:sz="0" w:space="0" w:color="auto"/>
      <w:shd w:val="clear" w:color="auto" w:fill="auto"/>
    </w:rPr>
  </w:style>
  <w:style w:type="character" w:customStyle="1" w:styleId="Underline">
    <w:name w:val="_ Underline"/>
    <w:basedOn w:val="DefaultParagraphFont"/>
    <w:uiPriority w:val="9"/>
    <w:qFormat/>
    <w:rsid w:val="00962971"/>
    <w:rPr>
      <w:u w:val="single"/>
    </w:rPr>
  </w:style>
  <w:style w:type="character" w:customStyle="1" w:styleId="Bold">
    <w:name w:val="_Bold"/>
    <w:basedOn w:val="DefaultParagraphFont"/>
    <w:uiPriority w:val="4"/>
    <w:qFormat/>
    <w:rsid w:val="00962971"/>
    <w:rPr>
      <w:b/>
    </w:rPr>
  </w:style>
  <w:style w:type="character" w:customStyle="1" w:styleId="HighlightBlue">
    <w:name w:val="_Highlight_Blue"/>
    <w:basedOn w:val="DefaultParagraphFont"/>
    <w:uiPriority w:val="8"/>
    <w:qFormat/>
    <w:rsid w:val="00962971"/>
    <w:rPr>
      <w:bdr w:val="none" w:sz="0" w:space="0" w:color="auto"/>
      <w:shd w:val="clear" w:color="auto" w:fill="CCFFFF"/>
    </w:rPr>
  </w:style>
  <w:style w:type="character" w:customStyle="1" w:styleId="Italics">
    <w:name w:val="_Italics"/>
    <w:basedOn w:val="DefaultParagraphFont"/>
    <w:uiPriority w:val="4"/>
    <w:qFormat/>
    <w:rsid w:val="00962971"/>
    <w:rPr>
      <w:b w:val="0"/>
      <w:i/>
    </w:rPr>
  </w:style>
  <w:style w:type="character" w:customStyle="1" w:styleId="Strikethrough">
    <w:name w:val="_Strikethrough"/>
    <w:basedOn w:val="DefaultParagraphFont"/>
    <w:uiPriority w:val="9"/>
    <w:qFormat/>
    <w:rsid w:val="00962971"/>
    <w:rPr>
      <w:strike/>
      <w:dstrike w:val="0"/>
    </w:rPr>
  </w:style>
  <w:style w:type="character" w:customStyle="1" w:styleId="Subscript">
    <w:name w:val="_Subscript"/>
    <w:basedOn w:val="DefaultParagraphFont"/>
    <w:uiPriority w:val="9"/>
    <w:qFormat/>
    <w:rsid w:val="00962971"/>
    <w:rPr>
      <w:vertAlign w:val="subscript"/>
    </w:rPr>
  </w:style>
  <w:style w:type="character" w:customStyle="1" w:styleId="Superscript">
    <w:name w:val="_Superscript"/>
    <w:basedOn w:val="Subscript"/>
    <w:uiPriority w:val="9"/>
    <w:qFormat/>
    <w:rsid w:val="00962971"/>
    <w:rPr>
      <w:vertAlign w:val="superscript"/>
    </w:rPr>
  </w:style>
  <w:style w:type="character" w:customStyle="1" w:styleId="TextBlue">
    <w:name w:val="_Text Blue"/>
    <w:basedOn w:val="DefaultParagraphFont"/>
    <w:uiPriority w:val="8"/>
    <w:qFormat/>
    <w:rsid w:val="001F4DC3"/>
    <w:rPr>
      <w:color w:val="1C4483" w:themeColor="accent1"/>
    </w:rPr>
  </w:style>
  <w:style w:type="character" w:customStyle="1" w:styleId="TextGreen">
    <w:name w:val="_Text Green"/>
    <w:uiPriority w:val="9"/>
    <w:qFormat/>
    <w:rsid w:val="001F4DC3"/>
    <w:rPr>
      <w:color w:val="00A67F" w:themeColor="accent4"/>
    </w:rPr>
  </w:style>
  <w:style w:type="character" w:customStyle="1" w:styleId="TextRed">
    <w:name w:val="_Text Red"/>
    <w:basedOn w:val="DefaultParagraphFont"/>
    <w:uiPriority w:val="9"/>
    <w:qFormat/>
    <w:rsid w:val="001F4DC3"/>
    <w:rPr>
      <w:color w:val="C8102E" w:themeColor="accent3"/>
    </w:rPr>
  </w:style>
  <w:style w:type="paragraph" w:customStyle="1" w:styleId="AppendixHeading1">
    <w:name w:val="Appendix Heading 1"/>
    <w:basedOn w:val="Heading1"/>
    <w:next w:val="BodyText"/>
    <w:uiPriority w:val="6"/>
    <w:qFormat/>
    <w:rsid w:val="00EE1286"/>
    <w:pPr>
      <w:pageBreakBefore/>
      <w:numPr>
        <w:numId w:val="35"/>
      </w:numPr>
      <w:spacing w:after="120"/>
      <w:ind w:left="2268" w:hanging="2268"/>
    </w:pPr>
    <w:rPr>
      <w:b w:val="0"/>
      <w:color w:val="1C4483" w:themeColor="accent1"/>
      <w:sz w:val="32"/>
    </w:rPr>
  </w:style>
  <w:style w:type="paragraph" w:customStyle="1" w:styleId="AppendixHeading2">
    <w:name w:val="Appendix Heading 2"/>
    <w:basedOn w:val="Heading2"/>
    <w:next w:val="BodyText"/>
    <w:uiPriority w:val="6"/>
    <w:qFormat/>
    <w:rsid w:val="00EE1286"/>
    <w:pPr>
      <w:numPr>
        <w:numId w:val="35"/>
      </w:numPr>
      <w:spacing w:before="240" w:after="120"/>
    </w:pPr>
    <w:rPr>
      <w:spacing w:val="0"/>
      <w:sz w:val="28"/>
    </w:rPr>
  </w:style>
  <w:style w:type="paragraph" w:customStyle="1" w:styleId="AppendixHeading3">
    <w:name w:val="Appendix Heading 3"/>
    <w:basedOn w:val="Heading3"/>
    <w:next w:val="BodyText"/>
    <w:uiPriority w:val="8"/>
    <w:qFormat/>
    <w:rsid w:val="00EE1286"/>
    <w:pPr>
      <w:numPr>
        <w:numId w:val="35"/>
      </w:numPr>
      <w:spacing w:before="240" w:after="120"/>
    </w:pPr>
    <w:rPr>
      <w:color w:val="00A2E2" w:themeColor="accent2"/>
      <w:spacing w:val="0"/>
      <w:sz w:val="26"/>
    </w:rPr>
  </w:style>
  <w:style w:type="paragraph" w:customStyle="1" w:styleId="Heading2NoNumber">
    <w:name w:val="Heading 2 No Number"/>
    <w:basedOn w:val="Heading2"/>
    <w:next w:val="BodyText"/>
    <w:uiPriority w:val="99"/>
    <w:qFormat/>
    <w:rsid w:val="00776CEC"/>
    <w:pPr>
      <w:numPr>
        <w:ilvl w:val="0"/>
        <w:numId w:val="0"/>
      </w:numPr>
    </w:pPr>
  </w:style>
  <w:style w:type="paragraph" w:customStyle="1" w:styleId="Heading3NoNumber">
    <w:name w:val="Heading 3 No Number"/>
    <w:basedOn w:val="Heading3"/>
    <w:next w:val="BodyText"/>
    <w:uiPriority w:val="99"/>
    <w:qFormat/>
    <w:rsid w:val="00776CEC"/>
    <w:pPr>
      <w:numPr>
        <w:ilvl w:val="0"/>
        <w:numId w:val="0"/>
      </w:numPr>
    </w:pPr>
  </w:style>
  <w:style w:type="paragraph" w:customStyle="1" w:styleId="TableHeadingWhiteCentred">
    <w:name w:val="Table Heading White Centred"/>
    <w:basedOn w:val="TableHeadingWhiteFont"/>
    <w:uiPriority w:val="99"/>
    <w:qFormat/>
    <w:rsid w:val="0075205E"/>
    <w:pPr>
      <w:jc w:val="center"/>
    </w:pPr>
  </w:style>
  <w:style w:type="paragraph" w:customStyle="1" w:styleId="CalloutHeader">
    <w:name w:val="Callout Header"/>
    <w:basedOn w:val="TableText"/>
    <w:uiPriority w:val="9"/>
    <w:qFormat/>
    <w:rsid w:val="001F4DC3"/>
    <w:pPr>
      <w:numPr>
        <w:numId w:val="0"/>
      </w:numPr>
      <w:spacing w:before="120"/>
    </w:pPr>
    <w:rPr>
      <w:rFonts w:asciiTheme="majorHAnsi" w:hAnsiTheme="majorHAnsi"/>
      <w:color w:val="1C4483" w:themeColor="accent1"/>
      <w:sz w:val="22"/>
    </w:rPr>
  </w:style>
  <w:style w:type="paragraph" w:customStyle="1" w:styleId="HeaderEven">
    <w:name w:val="Header Even"/>
    <w:basedOn w:val="Header"/>
    <w:uiPriority w:val="99"/>
    <w:qFormat/>
    <w:rsid w:val="0014525F"/>
    <w:pPr>
      <w:pBdr>
        <w:bottom w:val="single" w:sz="4" w:space="31" w:color="1C4483" w:themeColor="accent1"/>
      </w:pBdr>
      <w:spacing w:after="600"/>
    </w:pPr>
  </w:style>
  <w:style w:type="character" w:styleId="CommentReference">
    <w:name w:val="annotation reference"/>
    <w:basedOn w:val="DefaultParagraphFont"/>
    <w:uiPriority w:val="99"/>
    <w:unhideWhenUsed/>
    <w:rsid w:val="0093207D"/>
    <w:rPr>
      <w:sz w:val="16"/>
      <w:szCs w:val="16"/>
    </w:rPr>
  </w:style>
  <w:style w:type="paragraph" w:styleId="CommentText">
    <w:name w:val="annotation text"/>
    <w:basedOn w:val="Normal"/>
    <w:link w:val="CommentTextChar"/>
    <w:uiPriority w:val="99"/>
    <w:unhideWhenUsed/>
    <w:rsid w:val="0093207D"/>
    <w:pPr>
      <w:spacing w:line="240" w:lineRule="auto"/>
    </w:pPr>
    <w:rPr>
      <w:szCs w:val="20"/>
    </w:rPr>
  </w:style>
  <w:style w:type="character" w:customStyle="1" w:styleId="CommentTextChar">
    <w:name w:val="Comment Text Char"/>
    <w:basedOn w:val="DefaultParagraphFont"/>
    <w:link w:val="CommentText"/>
    <w:uiPriority w:val="99"/>
    <w:semiHidden/>
    <w:rsid w:val="0093207D"/>
    <w:rPr>
      <w:sz w:val="20"/>
      <w:szCs w:val="20"/>
    </w:rPr>
  </w:style>
  <w:style w:type="paragraph" w:styleId="CommentSubject">
    <w:name w:val="annotation subject"/>
    <w:basedOn w:val="CommentText"/>
    <w:next w:val="CommentText"/>
    <w:link w:val="CommentSubjectChar"/>
    <w:uiPriority w:val="99"/>
    <w:semiHidden/>
    <w:unhideWhenUsed/>
    <w:rsid w:val="0093207D"/>
    <w:rPr>
      <w:b/>
      <w:bCs/>
    </w:rPr>
  </w:style>
  <w:style w:type="character" w:customStyle="1" w:styleId="CommentSubjectChar">
    <w:name w:val="Comment Subject Char"/>
    <w:basedOn w:val="CommentTextChar"/>
    <w:link w:val="CommentSubject"/>
    <w:uiPriority w:val="99"/>
    <w:semiHidden/>
    <w:rsid w:val="0093207D"/>
    <w:rPr>
      <w:b/>
      <w:bCs/>
      <w:sz w:val="20"/>
      <w:szCs w:val="20"/>
    </w:rPr>
  </w:style>
  <w:style w:type="character" w:styleId="UnresolvedMention">
    <w:name w:val="Unresolved Mention"/>
    <w:basedOn w:val="DefaultParagraphFont"/>
    <w:uiPriority w:val="99"/>
    <w:semiHidden/>
    <w:unhideWhenUsed/>
    <w:rsid w:val="007829FC"/>
    <w:rPr>
      <w:color w:val="605E5C"/>
      <w:shd w:val="clear" w:color="auto" w:fill="E1DFDD"/>
    </w:rPr>
  </w:style>
  <w:style w:type="paragraph" w:styleId="Revision">
    <w:name w:val="Revision"/>
    <w:hidden/>
    <w:uiPriority w:val="99"/>
    <w:semiHidden/>
    <w:rsid w:val="00427367"/>
    <w:pPr>
      <w:spacing w:after="0" w:line="240" w:lineRule="auto"/>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296572744">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1531987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9.png"/><Relationship Id="rId39" Type="http://schemas.openxmlformats.org/officeDocument/2006/relationships/diagramData" Target="diagrams/data1.xml"/><Relationship Id="rId21" Type="http://schemas.openxmlformats.org/officeDocument/2006/relationships/image" Target="media/image4.png"/><Relationship Id="rId34" Type="http://schemas.openxmlformats.org/officeDocument/2006/relationships/image" Target="media/image17.jpeg"/><Relationship Id="rId42" Type="http://schemas.openxmlformats.org/officeDocument/2006/relationships/diagramColors" Target="diagrams/colors1.xm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image" Target="media/image15.png"/><Relationship Id="rId37" Type="http://schemas.openxmlformats.org/officeDocument/2006/relationships/image" Target="media/image20.jpg"/><Relationship Id="rId40" Type="http://schemas.openxmlformats.org/officeDocument/2006/relationships/diagramLayout" Target="diagrams/layout1.xml"/><Relationship Id="rId45" Type="http://schemas.openxmlformats.org/officeDocument/2006/relationships/hyperlink" Target="mailto:planning.panels@delwp.vic.gov.au" TargetMode="Externa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6.jpg"/><Relationship Id="rId28" Type="http://schemas.openxmlformats.org/officeDocument/2006/relationships/image" Target="media/image11.jpeg"/><Relationship Id="rId36" Type="http://schemas.openxmlformats.org/officeDocument/2006/relationships/image" Target="media/image19.png"/><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image" Target="media/image14.jpg"/><Relationship Id="rId44" Type="http://schemas.openxmlformats.org/officeDocument/2006/relationships/hyperlink" Target="http://www.apa.com.au/worm/ees"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g"/><Relationship Id="rId35" Type="http://schemas.openxmlformats.org/officeDocument/2006/relationships/image" Target="media/image18.png"/><Relationship Id="rId43" Type="http://schemas.microsoft.com/office/2007/relationships/diagramDrawing" Target="diagrams/drawing1.xml"/><Relationship Id="rId48" Type="http://schemas.openxmlformats.org/officeDocument/2006/relationships/theme" Target="theme/theme1.xml"/><Relationship Id="rId8"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jpg"/><Relationship Id="rId46" Type="http://schemas.openxmlformats.org/officeDocument/2006/relationships/footer" Target="footer4.xml"/><Relationship Id="rId20" Type="http://schemas.openxmlformats.org/officeDocument/2006/relationships/image" Target="media/image3.jpg"/><Relationship Id="rId41" Type="http://schemas.openxmlformats.org/officeDocument/2006/relationships/diagramQuickStyle" Target="diagrams/quickStyle1.xml"/></Relationships>
</file>

<file path=word/_rels/footnotes.xml.rels><?xml version="1.0" encoding="UTF-8" standalone="yes"?>
<Relationships xmlns="http://schemas.openxmlformats.org/package/2006/relationships"><Relationship Id="rId1" Type="http://schemas.openxmlformats.org/officeDocument/2006/relationships/hyperlink" Target="https://www.apa.com.au/globalassets/about-apa/our-projects/western-outer-ring-main-project/western-outer-ring-main-project-route-options-report.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9634D4-5693-4CF6-A2B2-DD6B36BEA52D}"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US"/>
        </a:p>
      </dgm:t>
    </dgm:pt>
    <dgm:pt modelId="{397DB664-11CE-4739-BE4B-FC74F9F886FB}">
      <dgm:prSet phldrT="[Text]"/>
      <dgm:spPr>
        <a:xfrm rot="5400000">
          <a:off x="-174356" y="178904"/>
          <a:ext cx="1162375" cy="813663"/>
        </a:xfrm>
        <a:prstGeom prst="chevron">
          <a:avLst/>
        </a:prstGeom>
        <a:solidFill>
          <a:schemeClr val="accent1"/>
        </a:solidFill>
        <a:ln>
          <a:solidFill>
            <a:schemeClr val="accent1">
              <a:lumMod val="75000"/>
            </a:schemeClr>
          </a:solidFill>
        </a:ln>
      </dgm:spPr>
      <dgm:t>
        <a:bodyPr/>
        <a:lstStyle/>
        <a:p>
          <a:r>
            <a:rPr lang="en-US"/>
            <a:t>1 Information Gathering for Route Selection</a:t>
          </a:r>
        </a:p>
      </dgm:t>
    </dgm:pt>
    <dgm:pt modelId="{F1DA2E7C-24B4-4325-B30F-69746955AA2D}" type="parTrans" cxnId="{41691F36-1354-4522-9647-085A215DA953}">
      <dgm:prSet/>
      <dgm:spPr/>
      <dgm:t>
        <a:bodyPr/>
        <a:lstStyle/>
        <a:p>
          <a:endParaRPr lang="en-US"/>
        </a:p>
      </dgm:t>
    </dgm:pt>
    <dgm:pt modelId="{3CA5D002-12A0-4DD6-B8C7-CCB4F85DD48A}" type="sibTrans" cxnId="{41691F36-1354-4522-9647-085A215DA953}">
      <dgm:prSet/>
      <dgm:spPr/>
      <dgm:t>
        <a:bodyPr/>
        <a:lstStyle/>
        <a:p>
          <a:endParaRPr lang="en-US"/>
        </a:p>
      </dgm:t>
    </dgm:pt>
    <dgm:pt modelId="{8C085F67-A081-4A05-96CA-DD97C2CA070C}">
      <dgm:prSet phldrT="[Text]"/>
      <dgm:spPr>
        <a:xfrm rot="5400000">
          <a:off x="-174356" y="5523044"/>
          <a:ext cx="1162375" cy="813663"/>
        </a:xfrm>
        <a:prstGeom prst="chevron">
          <a:avLst/>
        </a:prstGeom>
        <a:solidFill>
          <a:srgbClr val="778FB5"/>
        </a:solidFill>
        <a:ln>
          <a:solidFill>
            <a:schemeClr val="accent1">
              <a:lumMod val="75000"/>
            </a:schemeClr>
          </a:solidFill>
        </a:ln>
      </dgm:spPr>
      <dgm:t>
        <a:bodyPr/>
        <a:lstStyle/>
        <a:p>
          <a:r>
            <a:rPr lang="en-US"/>
            <a:t>6 Pipeline Construction</a:t>
          </a:r>
        </a:p>
      </dgm:t>
    </dgm:pt>
    <dgm:pt modelId="{E54F499A-EB8C-4D0A-B0CF-D88764AABCEC}" type="parTrans" cxnId="{3CE3FDE2-D6C4-4F2E-BDFF-0B05818A1340}">
      <dgm:prSet/>
      <dgm:spPr/>
      <dgm:t>
        <a:bodyPr/>
        <a:lstStyle/>
        <a:p>
          <a:endParaRPr lang="en-US"/>
        </a:p>
      </dgm:t>
    </dgm:pt>
    <dgm:pt modelId="{88C15574-2966-4F0D-8DAB-36887D019B1B}" type="sibTrans" cxnId="{3CE3FDE2-D6C4-4F2E-BDFF-0B05818A1340}">
      <dgm:prSet/>
      <dgm:spPr/>
      <dgm:t>
        <a:bodyPr/>
        <a:lstStyle/>
        <a:p>
          <a:endParaRPr lang="en-US"/>
        </a:p>
      </dgm:t>
    </dgm:pt>
    <dgm:pt modelId="{3F9EDC31-C698-4C10-8377-453605BF827A}">
      <dgm:prSet phldrT="[Text]"/>
      <dgm:spPr>
        <a:xfrm rot="5400000">
          <a:off x="2802421" y="3359929"/>
          <a:ext cx="755544" cy="4733061"/>
        </a:xfrm>
        <a:prstGeom prst="round2SameRect">
          <a:avLst/>
        </a:prstGeom>
        <a:ln>
          <a:solidFill>
            <a:schemeClr val="accent1">
              <a:lumMod val="75000"/>
            </a:schemeClr>
          </a:solidFill>
        </a:ln>
      </dgm:spPr>
      <dgm:t>
        <a:bodyPr/>
        <a:lstStyle/>
        <a:p>
          <a:r>
            <a:rPr lang="en-US"/>
            <a:t>APA will engage a suitably experienced construction contractor to complete the works</a:t>
          </a:r>
        </a:p>
      </dgm:t>
    </dgm:pt>
    <dgm:pt modelId="{FA648620-1461-46D5-879B-3C66CF489973}" type="parTrans" cxnId="{1B3E506A-0DE6-4F66-BECA-FE892764EEB7}">
      <dgm:prSet/>
      <dgm:spPr/>
      <dgm:t>
        <a:bodyPr/>
        <a:lstStyle/>
        <a:p>
          <a:endParaRPr lang="en-US"/>
        </a:p>
      </dgm:t>
    </dgm:pt>
    <dgm:pt modelId="{8574988A-867B-405B-BC33-E6B1AC471264}" type="sibTrans" cxnId="{1B3E506A-0DE6-4F66-BECA-FE892764EEB7}">
      <dgm:prSet/>
      <dgm:spPr/>
      <dgm:t>
        <a:bodyPr/>
        <a:lstStyle/>
        <a:p>
          <a:endParaRPr lang="en-US"/>
        </a:p>
      </dgm:t>
    </dgm:pt>
    <dgm:pt modelId="{4FCCC512-4CEE-426B-9BED-EE0848A28AA9}">
      <dgm:prSet phldrT="[Text]"/>
      <dgm:spPr>
        <a:xfrm rot="5400000">
          <a:off x="-174356" y="6591872"/>
          <a:ext cx="1162375" cy="813663"/>
        </a:xfrm>
        <a:prstGeom prst="chevron">
          <a:avLst/>
        </a:prstGeom>
        <a:solidFill>
          <a:srgbClr val="8EA2C1"/>
        </a:solidFill>
        <a:ln>
          <a:solidFill>
            <a:schemeClr val="accent1">
              <a:lumMod val="75000"/>
            </a:schemeClr>
          </a:solidFill>
        </a:ln>
      </dgm:spPr>
      <dgm:t>
        <a:bodyPr/>
        <a:lstStyle/>
        <a:p>
          <a:r>
            <a:rPr lang="en-US"/>
            <a:t>7 Pipeline Operation</a:t>
          </a:r>
        </a:p>
      </dgm:t>
    </dgm:pt>
    <dgm:pt modelId="{5418421D-8357-41AF-B896-83A03AD25405}" type="parTrans" cxnId="{2A528988-4312-4FBF-A768-FC72F06777C6}">
      <dgm:prSet/>
      <dgm:spPr/>
      <dgm:t>
        <a:bodyPr/>
        <a:lstStyle/>
        <a:p>
          <a:endParaRPr lang="en-US"/>
        </a:p>
      </dgm:t>
    </dgm:pt>
    <dgm:pt modelId="{6F9E7F74-B200-4DE3-8C07-576B750AF50C}" type="sibTrans" cxnId="{2A528988-4312-4FBF-A768-FC72F06777C6}">
      <dgm:prSet/>
      <dgm:spPr/>
      <dgm:t>
        <a:bodyPr/>
        <a:lstStyle/>
        <a:p>
          <a:endParaRPr lang="en-US"/>
        </a:p>
      </dgm:t>
    </dgm:pt>
    <dgm:pt modelId="{C8EFD7CD-52EC-4130-8BB8-B784E2B287CD}">
      <dgm:prSet phldrT="[Text]"/>
      <dgm:spPr>
        <a:xfrm rot="5400000">
          <a:off x="2802421" y="4428757"/>
          <a:ext cx="755544" cy="4733061"/>
        </a:xfrm>
        <a:prstGeom prst="round2SameRect">
          <a:avLst/>
        </a:prstGeom>
        <a:ln>
          <a:solidFill>
            <a:schemeClr val="accent1">
              <a:lumMod val="75000"/>
            </a:schemeClr>
          </a:solidFill>
        </a:ln>
      </dgm:spPr>
      <dgm:t>
        <a:bodyPr/>
        <a:lstStyle/>
        <a:p>
          <a:r>
            <a:rPr lang="en-US"/>
            <a:t>Following construction and rehabilitation, access requirements are only for infrequent and periodic inspections and maintenance (as required)</a:t>
          </a:r>
        </a:p>
      </dgm:t>
    </dgm:pt>
    <dgm:pt modelId="{72F67D88-AB4E-49D9-8E24-94383D95694B}" type="parTrans" cxnId="{710BB976-A71D-4B7D-81CB-711B2FD66DC5}">
      <dgm:prSet/>
      <dgm:spPr/>
      <dgm:t>
        <a:bodyPr/>
        <a:lstStyle/>
        <a:p>
          <a:endParaRPr lang="en-US"/>
        </a:p>
      </dgm:t>
    </dgm:pt>
    <dgm:pt modelId="{CA5A9F3E-7E19-4EA5-8A13-7A2EB0343A3A}" type="sibTrans" cxnId="{710BB976-A71D-4B7D-81CB-711B2FD66DC5}">
      <dgm:prSet/>
      <dgm:spPr/>
      <dgm:t>
        <a:bodyPr/>
        <a:lstStyle/>
        <a:p>
          <a:endParaRPr lang="en-US"/>
        </a:p>
      </dgm:t>
    </dgm:pt>
    <dgm:pt modelId="{5BCE7B74-857F-4F84-BE3F-0C03054BD9F1}">
      <dgm:prSet/>
      <dgm:spPr>
        <a:xfrm rot="5400000">
          <a:off x="-174356" y="3385388"/>
          <a:ext cx="1162375" cy="813663"/>
        </a:xfrm>
        <a:prstGeom prst="chevron">
          <a:avLst/>
        </a:prstGeom>
        <a:solidFill>
          <a:srgbClr val="607CA8"/>
        </a:solidFill>
        <a:ln>
          <a:solidFill>
            <a:schemeClr val="accent1">
              <a:lumMod val="75000"/>
            </a:schemeClr>
          </a:solidFill>
        </a:ln>
      </dgm:spPr>
      <dgm:t>
        <a:bodyPr/>
        <a:lstStyle/>
        <a:p>
          <a:r>
            <a:rPr lang="en-US"/>
            <a:t>4 Agreement on Pipeline Corridor</a:t>
          </a:r>
        </a:p>
      </dgm:t>
    </dgm:pt>
    <dgm:pt modelId="{7D2ABA09-38FE-41B8-AF70-FA07D7D26240}" type="parTrans" cxnId="{DB58400C-260F-4836-BF44-F9910DFD3840}">
      <dgm:prSet/>
      <dgm:spPr/>
      <dgm:t>
        <a:bodyPr/>
        <a:lstStyle/>
        <a:p>
          <a:endParaRPr lang="en-US"/>
        </a:p>
      </dgm:t>
    </dgm:pt>
    <dgm:pt modelId="{E1260A5C-2211-40BD-8F8F-A7AFF491F8E8}" type="sibTrans" cxnId="{DB58400C-260F-4836-BF44-F9910DFD3840}">
      <dgm:prSet/>
      <dgm:spPr/>
      <dgm:t>
        <a:bodyPr/>
        <a:lstStyle/>
        <a:p>
          <a:endParaRPr lang="en-US"/>
        </a:p>
      </dgm:t>
    </dgm:pt>
    <dgm:pt modelId="{F700D70A-9832-456E-B726-E0E85188CF27}">
      <dgm:prSet/>
      <dgm:spPr>
        <a:xfrm rot="5400000">
          <a:off x="-174356" y="4454216"/>
          <a:ext cx="1162375" cy="813663"/>
        </a:xfrm>
        <a:prstGeom prst="chevron">
          <a:avLst/>
        </a:prstGeom>
        <a:solidFill>
          <a:srgbClr val="FFFF00"/>
        </a:solidFill>
        <a:ln>
          <a:solidFill>
            <a:schemeClr val="accent1">
              <a:lumMod val="75000"/>
            </a:schemeClr>
          </a:solidFill>
        </a:ln>
      </dgm:spPr>
      <dgm:t>
        <a:bodyPr/>
        <a:lstStyle/>
        <a:p>
          <a:r>
            <a:rPr lang="en-US">
              <a:solidFill>
                <a:schemeClr val="accent1"/>
              </a:solidFill>
            </a:rPr>
            <a:t>5 Seeking Regulatory Approvals</a:t>
          </a:r>
        </a:p>
      </dgm:t>
    </dgm:pt>
    <dgm:pt modelId="{C35E620A-6247-4BF0-B7EA-A06D458416AD}" type="parTrans" cxnId="{B23EC5BC-93E2-44CA-B0D2-6EAABD7F091E}">
      <dgm:prSet/>
      <dgm:spPr/>
      <dgm:t>
        <a:bodyPr/>
        <a:lstStyle/>
        <a:p>
          <a:endParaRPr lang="en-US"/>
        </a:p>
      </dgm:t>
    </dgm:pt>
    <dgm:pt modelId="{5E76BA6E-FCD5-41E7-B113-49EFC38A70E1}" type="sibTrans" cxnId="{B23EC5BC-93E2-44CA-B0D2-6EAABD7F091E}">
      <dgm:prSet/>
      <dgm:spPr/>
      <dgm:t>
        <a:bodyPr/>
        <a:lstStyle/>
        <a:p>
          <a:endParaRPr lang="en-US"/>
        </a:p>
      </dgm:t>
    </dgm:pt>
    <dgm:pt modelId="{7F7F4999-0661-47AD-B8D6-CEF6C05D2557}">
      <dgm:prSet/>
      <dgm:spPr>
        <a:xfrm rot="5400000">
          <a:off x="-174356" y="1247732"/>
          <a:ext cx="1162375" cy="813663"/>
        </a:xfrm>
        <a:prstGeom prst="chevron">
          <a:avLst/>
        </a:prstGeom>
        <a:solidFill>
          <a:srgbClr val="33578F"/>
        </a:solidFill>
        <a:ln>
          <a:solidFill>
            <a:schemeClr val="accent1">
              <a:lumMod val="75000"/>
            </a:schemeClr>
          </a:solidFill>
        </a:ln>
      </dgm:spPr>
      <dgm:t>
        <a:bodyPr/>
        <a:lstStyle/>
        <a:p>
          <a:r>
            <a:rPr lang="en-US"/>
            <a:t>2 Initial Stakeholder Engagement</a:t>
          </a:r>
        </a:p>
      </dgm:t>
    </dgm:pt>
    <dgm:pt modelId="{99D52D67-C84D-4901-A84F-4D79DE3751C2}" type="parTrans" cxnId="{3C3F0277-DEB7-40F6-AE52-33332C5465CB}">
      <dgm:prSet/>
      <dgm:spPr/>
      <dgm:t>
        <a:bodyPr/>
        <a:lstStyle/>
        <a:p>
          <a:endParaRPr lang="en-US"/>
        </a:p>
      </dgm:t>
    </dgm:pt>
    <dgm:pt modelId="{E9753EDF-1EEB-42C0-B1B4-0B1FC8192322}" type="sibTrans" cxnId="{3C3F0277-DEB7-40F6-AE52-33332C5465CB}">
      <dgm:prSet/>
      <dgm:spPr/>
      <dgm:t>
        <a:bodyPr/>
        <a:lstStyle/>
        <a:p>
          <a:endParaRPr lang="en-US"/>
        </a:p>
      </dgm:t>
    </dgm:pt>
    <dgm:pt modelId="{E0A0FADB-D3C1-4AFC-9679-0CBC6B07648D}">
      <dgm:prSet/>
      <dgm:spPr>
        <a:xfrm rot="5400000">
          <a:off x="-174356" y="2316560"/>
          <a:ext cx="1162375" cy="813663"/>
        </a:xfrm>
        <a:prstGeom prst="chevron">
          <a:avLst/>
        </a:prstGeom>
        <a:solidFill>
          <a:srgbClr val="49699C"/>
        </a:solidFill>
        <a:ln>
          <a:solidFill>
            <a:schemeClr val="accent1">
              <a:lumMod val="75000"/>
            </a:schemeClr>
          </a:solidFill>
        </a:ln>
      </dgm:spPr>
      <dgm:t>
        <a:bodyPr/>
        <a:lstStyle/>
        <a:p>
          <a:r>
            <a:rPr lang="en-US"/>
            <a:t>3 Obtaining Land Access for Surveys</a:t>
          </a:r>
        </a:p>
      </dgm:t>
    </dgm:pt>
    <dgm:pt modelId="{144C5338-6980-4D8A-A679-87AB79E7D40B}" type="parTrans" cxnId="{02CA3402-1352-4456-A999-B5AF8DA992A1}">
      <dgm:prSet/>
      <dgm:spPr/>
      <dgm:t>
        <a:bodyPr/>
        <a:lstStyle/>
        <a:p>
          <a:endParaRPr lang="en-US"/>
        </a:p>
      </dgm:t>
    </dgm:pt>
    <dgm:pt modelId="{FDF44D06-FBD7-4569-A674-D5E825CB2510}" type="sibTrans" cxnId="{02CA3402-1352-4456-A999-B5AF8DA992A1}">
      <dgm:prSet/>
      <dgm:spPr/>
      <dgm:t>
        <a:bodyPr/>
        <a:lstStyle/>
        <a:p>
          <a:endParaRPr lang="en-US"/>
        </a:p>
      </dgm:t>
    </dgm:pt>
    <dgm:pt modelId="{174384B8-86C5-4074-89C8-25101EE8579C}">
      <dgm:prSet/>
      <dgm:spPr>
        <a:xfrm rot="5400000">
          <a:off x="2802421" y="-915382"/>
          <a:ext cx="755544" cy="4733061"/>
        </a:xfrm>
        <a:prstGeom prst="round2SameRect">
          <a:avLst/>
        </a:prstGeom>
        <a:ln>
          <a:solidFill>
            <a:schemeClr val="accent1">
              <a:lumMod val="75000"/>
            </a:schemeClr>
          </a:solidFill>
        </a:ln>
      </dgm:spPr>
      <dgm:t>
        <a:bodyPr/>
        <a:lstStyle/>
        <a:p>
          <a:r>
            <a:rPr lang="en-US"/>
            <a:t>Establishment of landholder database (e.g. title searches, landholder addresses, etc.) and engagement of affected landholders - </a:t>
          </a:r>
          <a:r>
            <a:rPr lang="en-AU"/>
            <a:t>consistent with Consultation Plan approved under Pipelines Act</a:t>
          </a:r>
          <a:endParaRPr lang="en-US"/>
        </a:p>
      </dgm:t>
    </dgm:pt>
    <dgm:pt modelId="{B153884D-BFA8-4857-829D-0084CC5D6D73}" type="parTrans" cxnId="{A10BBEFE-D142-4B0A-83E7-63CF4D5213FF}">
      <dgm:prSet/>
      <dgm:spPr/>
      <dgm:t>
        <a:bodyPr/>
        <a:lstStyle/>
        <a:p>
          <a:endParaRPr lang="en-US"/>
        </a:p>
      </dgm:t>
    </dgm:pt>
    <dgm:pt modelId="{47D7D3CE-80DE-49D9-AE97-5929971BDBBD}" type="sibTrans" cxnId="{A10BBEFE-D142-4B0A-83E7-63CF4D5213FF}">
      <dgm:prSet/>
      <dgm:spPr/>
      <dgm:t>
        <a:bodyPr/>
        <a:lstStyle/>
        <a:p>
          <a:endParaRPr lang="en-US"/>
        </a:p>
      </dgm:t>
    </dgm:pt>
    <dgm:pt modelId="{F3F025B9-49B3-4583-94E0-5FC55E80A458}">
      <dgm:prSet/>
      <dgm:spPr>
        <a:xfrm rot="5400000">
          <a:off x="2802421" y="1222273"/>
          <a:ext cx="755544" cy="4733061"/>
        </a:xfrm>
        <a:prstGeom prst="round2SameRect">
          <a:avLst/>
        </a:prstGeom>
        <a:ln>
          <a:solidFill>
            <a:schemeClr val="accent1">
              <a:lumMod val="75000"/>
            </a:schemeClr>
          </a:solidFill>
        </a:ln>
      </dgm:spPr>
      <dgm:t>
        <a:bodyPr/>
        <a:lstStyle/>
        <a:p>
          <a:r>
            <a:rPr lang="en-US"/>
            <a:t>APA to issue Notice of Pipeline Corridor (as required by the Pipelines Act) to affected landholders</a:t>
          </a:r>
        </a:p>
      </dgm:t>
    </dgm:pt>
    <dgm:pt modelId="{3C3B0C46-EA55-4B60-831E-7D51ED2A86B2}" type="parTrans" cxnId="{036AAC3D-8A73-42F3-9EDE-D27A7BEE1903}">
      <dgm:prSet/>
      <dgm:spPr/>
      <dgm:t>
        <a:bodyPr/>
        <a:lstStyle/>
        <a:p>
          <a:endParaRPr lang="en-US"/>
        </a:p>
      </dgm:t>
    </dgm:pt>
    <dgm:pt modelId="{62DC7030-B323-42BD-BBF1-2F4D441C9BA8}" type="sibTrans" cxnId="{036AAC3D-8A73-42F3-9EDE-D27A7BEE1903}">
      <dgm:prSet/>
      <dgm:spPr/>
      <dgm:t>
        <a:bodyPr/>
        <a:lstStyle/>
        <a:p>
          <a:endParaRPr lang="en-US"/>
        </a:p>
      </dgm:t>
    </dgm:pt>
    <dgm:pt modelId="{01973F9C-C35D-4770-8601-CDD9F4B80BFD}">
      <dgm:prSet/>
      <dgm:spPr>
        <a:xfrm rot="5400000">
          <a:off x="2802421" y="2291101"/>
          <a:ext cx="755544" cy="4733061"/>
        </a:xfrm>
        <a:prstGeom prst="round2SameRect">
          <a:avLst/>
        </a:prstGeom>
        <a:ln>
          <a:solidFill>
            <a:schemeClr val="accent1">
              <a:lumMod val="75000"/>
            </a:schemeClr>
          </a:solidFill>
        </a:ln>
      </dgm:spPr>
      <dgm:t>
        <a:bodyPr/>
        <a:lstStyle/>
        <a:p>
          <a:r>
            <a:rPr lang="en-US"/>
            <a:t>APA undertake studies, prepare and exhibit the EES; and respond to requirements of EPBC Act; and seeks Cultural Heritage Management Plan approval. </a:t>
          </a:r>
        </a:p>
      </dgm:t>
    </dgm:pt>
    <dgm:pt modelId="{3C2AF949-CBE6-4B51-8A1F-7F466B155D62}" type="parTrans" cxnId="{51A21E02-6BB8-42A1-9EAB-C243D9A6F309}">
      <dgm:prSet/>
      <dgm:spPr/>
      <dgm:t>
        <a:bodyPr/>
        <a:lstStyle/>
        <a:p>
          <a:endParaRPr lang="en-US"/>
        </a:p>
      </dgm:t>
    </dgm:pt>
    <dgm:pt modelId="{7E2002FE-07EB-40A4-A98D-AA60F00FF151}" type="sibTrans" cxnId="{51A21E02-6BB8-42A1-9EAB-C243D9A6F309}">
      <dgm:prSet/>
      <dgm:spPr/>
      <dgm:t>
        <a:bodyPr/>
        <a:lstStyle/>
        <a:p>
          <a:endParaRPr lang="en-US"/>
        </a:p>
      </dgm:t>
    </dgm:pt>
    <dgm:pt modelId="{A9EBFDCD-B054-48D2-A725-6EBA75BC46CC}">
      <dgm:prSet/>
      <dgm:spPr>
        <a:xfrm rot="5400000">
          <a:off x="2802421" y="153445"/>
          <a:ext cx="755544" cy="4733061"/>
        </a:xfrm>
        <a:prstGeom prst="round2SameRect">
          <a:avLst/>
        </a:prstGeom>
        <a:ln>
          <a:solidFill>
            <a:schemeClr val="accent1">
              <a:lumMod val="75000"/>
            </a:schemeClr>
          </a:solidFill>
        </a:ln>
      </dgm:spPr>
      <dgm:t>
        <a:bodyPr/>
        <a:lstStyle/>
        <a:p>
          <a:r>
            <a:rPr lang="en-US"/>
            <a:t>APA to seek agreement for land access from affected private and public landholders for studies (e.g. geotechnical, environmental and cultural heritage)</a:t>
          </a:r>
        </a:p>
      </dgm:t>
    </dgm:pt>
    <dgm:pt modelId="{47B09929-5A62-4324-9BBC-CC3A8D2069FD}" type="parTrans" cxnId="{DE03EB83-05C6-41E3-88FF-36D0894F093D}">
      <dgm:prSet/>
      <dgm:spPr/>
      <dgm:t>
        <a:bodyPr/>
        <a:lstStyle/>
        <a:p>
          <a:endParaRPr lang="en-US"/>
        </a:p>
      </dgm:t>
    </dgm:pt>
    <dgm:pt modelId="{0BBC5A21-DB07-4D0E-90D8-22BA7486B399}" type="sibTrans" cxnId="{DE03EB83-05C6-41E3-88FF-36D0894F093D}">
      <dgm:prSet/>
      <dgm:spPr/>
      <dgm:t>
        <a:bodyPr/>
        <a:lstStyle/>
        <a:p>
          <a:endParaRPr lang="en-US"/>
        </a:p>
      </dgm:t>
    </dgm:pt>
    <dgm:pt modelId="{CD6C7657-7FD6-4CC4-8AD7-8C518107568C}">
      <dgm:prSet/>
      <dgm:spPr>
        <a:xfrm rot="5400000">
          <a:off x="2802421" y="153445"/>
          <a:ext cx="755544" cy="4733061"/>
        </a:xfrm>
        <a:prstGeom prst="round2SameRect">
          <a:avLst/>
        </a:prstGeom>
        <a:ln>
          <a:solidFill>
            <a:schemeClr val="accent1">
              <a:lumMod val="75000"/>
            </a:schemeClr>
          </a:solidFill>
        </a:ln>
      </dgm:spPr>
      <dgm:t>
        <a:bodyPr/>
        <a:lstStyle/>
        <a:p>
          <a:r>
            <a:rPr lang="en-US"/>
            <a:t>Clarification of any specific conditions or constraints in relation to land access</a:t>
          </a:r>
        </a:p>
      </dgm:t>
    </dgm:pt>
    <dgm:pt modelId="{0CFACB58-6DD0-4666-9511-3C48004979AC}" type="parTrans" cxnId="{3C2EE6C8-1DA3-404D-B502-AD0FDE0F9569}">
      <dgm:prSet/>
      <dgm:spPr/>
      <dgm:t>
        <a:bodyPr/>
        <a:lstStyle/>
        <a:p>
          <a:endParaRPr lang="en-US"/>
        </a:p>
      </dgm:t>
    </dgm:pt>
    <dgm:pt modelId="{E33333D3-7B6F-48E5-9658-922E1260AFC6}" type="sibTrans" cxnId="{3C2EE6C8-1DA3-404D-B502-AD0FDE0F9569}">
      <dgm:prSet/>
      <dgm:spPr/>
      <dgm:t>
        <a:bodyPr/>
        <a:lstStyle/>
        <a:p>
          <a:endParaRPr lang="en-US"/>
        </a:p>
      </dgm:t>
    </dgm:pt>
    <dgm:pt modelId="{17A6D0EF-A246-4EFC-9A41-7F0C85BEE373}">
      <dgm:prSet/>
      <dgm:spPr>
        <a:xfrm rot="5400000">
          <a:off x="2802421" y="153445"/>
          <a:ext cx="755544" cy="4733061"/>
        </a:xfrm>
        <a:prstGeom prst="round2SameRect">
          <a:avLst/>
        </a:prstGeom>
        <a:ln>
          <a:solidFill>
            <a:schemeClr val="accent1">
              <a:lumMod val="75000"/>
            </a:schemeClr>
          </a:solidFill>
        </a:ln>
      </dgm:spPr>
      <dgm:t>
        <a:bodyPr/>
        <a:lstStyle/>
        <a:p>
          <a:r>
            <a:rPr lang="en-US"/>
            <a:t>APA to issue Notice of Intention to Enter Land for Survey (as required by the Pipelines Act)</a:t>
          </a:r>
        </a:p>
      </dgm:t>
    </dgm:pt>
    <dgm:pt modelId="{DA052C4A-4AA3-47CF-A940-30B7770241F0}" type="parTrans" cxnId="{38D8CBD4-DFE8-45C1-957B-EB1F57D5C30F}">
      <dgm:prSet/>
      <dgm:spPr/>
      <dgm:t>
        <a:bodyPr/>
        <a:lstStyle/>
        <a:p>
          <a:endParaRPr lang="en-US"/>
        </a:p>
      </dgm:t>
    </dgm:pt>
    <dgm:pt modelId="{E00233C4-8FA1-4780-8C6B-DACEBAEF7287}" type="sibTrans" cxnId="{38D8CBD4-DFE8-45C1-957B-EB1F57D5C30F}">
      <dgm:prSet/>
      <dgm:spPr/>
      <dgm:t>
        <a:bodyPr/>
        <a:lstStyle/>
        <a:p>
          <a:endParaRPr lang="en-US"/>
        </a:p>
      </dgm:t>
    </dgm:pt>
    <dgm:pt modelId="{E20771CC-F736-40D9-A0D5-D930AAA7FF5B}">
      <dgm:prSet/>
      <dgm:spPr>
        <a:xfrm rot="5400000">
          <a:off x="2802421" y="153445"/>
          <a:ext cx="755544" cy="4733061"/>
        </a:xfrm>
        <a:prstGeom prst="round2SameRect">
          <a:avLst/>
        </a:prstGeom>
        <a:ln>
          <a:solidFill>
            <a:schemeClr val="accent1">
              <a:lumMod val="75000"/>
            </a:schemeClr>
          </a:solidFill>
        </a:ln>
      </dgm:spPr>
      <dgm:t>
        <a:bodyPr/>
        <a:lstStyle/>
        <a:p>
          <a:r>
            <a:rPr lang="en-US"/>
            <a:t>Undertake required surveys in accordance with any landholder agreements</a:t>
          </a:r>
        </a:p>
      </dgm:t>
    </dgm:pt>
    <dgm:pt modelId="{A2220864-F518-4BA7-BB63-9D2A37EFA34C}" type="parTrans" cxnId="{4C8D93C9-E852-42B2-8D0B-73EE667E5BCC}">
      <dgm:prSet/>
      <dgm:spPr/>
      <dgm:t>
        <a:bodyPr/>
        <a:lstStyle/>
        <a:p>
          <a:endParaRPr lang="en-US"/>
        </a:p>
      </dgm:t>
    </dgm:pt>
    <dgm:pt modelId="{844E8D09-E255-4AF5-A389-C233F1171D25}" type="sibTrans" cxnId="{4C8D93C9-E852-42B2-8D0B-73EE667E5BCC}">
      <dgm:prSet/>
      <dgm:spPr/>
      <dgm:t>
        <a:bodyPr/>
        <a:lstStyle/>
        <a:p>
          <a:endParaRPr lang="en-US"/>
        </a:p>
      </dgm:t>
    </dgm:pt>
    <dgm:pt modelId="{5DF5CD42-A06C-443E-9EC1-B4283111F9BE}">
      <dgm:prSet/>
      <dgm:spPr>
        <a:xfrm rot="5400000">
          <a:off x="2802421" y="-915382"/>
          <a:ext cx="755544" cy="4733061"/>
        </a:xfrm>
        <a:prstGeom prst="round2SameRect">
          <a:avLst/>
        </a:prstGeom>
        <a:ln>
          <a:solidFill>
            <a:schemeClr val="accent1">
              <a:lumMod val="75000"/>
            </a:schemeClr>
          </a:solidFill>
        </a:ln>
      </dgm:spPr>
      <dgm:t>
        <a:bodyPr/>
        <a:lstStyle/>
        <a:p>
          <a:r>
            <a:rPr lang="en-US"/>
            <a:t>Meetings with regulatory agencies and other related stakeholders to present preferred route</a:t>
          </a:r>
        </a:p>
      </dgm:t>
    </dgm:pt>
    <dgm:pt modelId="{7B3DD6B9-082A-47B9-935D-8E73F50AAB76}" type="parTrans" cxnId="{EFF19A69-AA9B-4648-881B-5EC7DB0BA711}">
      <dgm:prSet/>
      <dgm:spPr/>
      <dgm:t>
        <a:bodyPr/>
        <a:lstStyle/>
        <a:p>
          <a:endParaRPr lang="en-US"/>
        </a:p>
      </dgm:t>
    </dgm:pt>
    <dgm:pt modelId="{F4E193CB-C212-457E-A0B1-2E34BFC9BBAA}" type="sibTrans" cxnId="{EFF19A69-AA9B-4648-881B-5EC7DB0BA711}">
      <dgm:prSet/>
      <dgm:spPr/>
      <dgm:t>
        <a:bodyPr/>
        <a:lstStyle/>
        <a:p>
          <a:endParaRPr lang="en-US"/>
        </a:p>
      </dgm:t>
    </dgm:pt>
    <dgm:pt modelId="{31665A62-238E-425A-8C7F-6A9A06870350}">
      <dgm:prSet/>
      <dgm:spPr>
        <a:xfrm rot="5400000">
          <a:off x="2802421" y="1222273"/>
          <a:ext cx="755544" cy="4733061"/>
        </a:xfrm>
        <a:prstGeom prst="round2SameRect">
          <a:avLst/>
        </a:prstGeom>
        <a:ln>
          <a:solidFill>
            <a:schemeClr val="accent1">
              <a:lumMod val="75000"/>
            </a:schemeClr>
          </a:solidFill>
        </a:ln>
      </dgm:spPr>
      <dgm:t>
        <a:bodyPr/>
        <a:lstStyle/>
        <a:p>
          <a:r>
            <a:rPr lang="en-US"/>
            <a:t>APA to consult with affected landholders to negotiate an easement to allow for construction and operation of the pipeline</a:t>
          </a:r>
        </a:p>
      </dgm:t>
    </dgm:pt>
    <dgm:pt modelId="{CC6D14F0-3B74-4DCD-A7A5-8CAF2258FC3F}" type="parTrans" cxnId="{63720E62-3C6F-4C54-93D6-4CFEE3D38DE2}">
      <dgm:prSet/>
      <dgm:spPr/>
      <dgm:t>
        <a:bodyPr/>
        <a:lstStyle/>
        <a:p>
          <a:endParaRPr lang="en-US"/>
        </a:p>
      </dgm:t>
    </dgm:pt>
    <dgm:pt modelId="{890AA3D7-FA85-43A3-BC66-F09964F0C15B}" type="sibTrans" cxnId="{63720E62-3C6F-4C54-93D6-4CFEE3D38DE2}">
      <dgm:prSet/>
      <dgm:spPr/>
      <dgm:t>
        <a:bodyPr/>
        <a:lstStyle/>
        <a:p>
          <a:endParaRPr lang="en-US"/>
        </a:p>
      </dgm:t>
    </dgm:pt>
    <dgm:pt modelId="{2089FCF3-6FFA-4CCA-8480-B31215AAF781}">
      <dgm:prSet/>
      <dgm:spPr>
        <a:xfrm rot="5400000">
          <a:off x="2802421" y="1222273"/>
          <a:ext cx="755544" cy="4733061"/>
        </a:xfrm>
        <a:prstGeom prst="round2SameRect">
          <a:avLst/>
        </a:prstGeom>
        <a:ln>
          <a:solidFill>
            <a:schemeClr val="accent1">
              <a:lumMod val="75000"/>
            </a:schemeClr>
          </a:solidFill>
        </a:ln>
      </dgm:spPr>
      <dgm:t>
        <a:bodyPr/>
        <a:lstStyle/>
        <a:p>
          <a:r>
            <a:rPr lang="en-US"/>
            <a:t>Easement negotiations likely to include discussions relating to pipeline route, construction access arrangements, compensation, rehabilitation of construction disturbance and ongoing access requirements</a:t>
          </a:r>
        </a:p>
      </dgm:t>
    </dgm:pt>
    <dgm:pt modelId="{863C57A9-15ED-4F6D-ACC1-8A915F2E055D}" type="parTrans" cxnId="{34E239C8-875C-4CF6-9C4F-51BD427A5CC5}">
      <dgm:prSet/>
      <dgm:spPr/>
      <dgm:t>
        <a:bodyPr/>
        <a:lstStyle/>
        <a:p>
          <a:endParaRPr lang="en-US"/>
        </a:p>
      </dgm:t>
    </dgm:pt>
    <dgm:pt modelId="{93D930AE-80AC-4F72-BF67-A9AC32776CEA}" type="sibTrans" cxnId="{34E239C8-875C-4CF6-9C4F-51BD427A5CC5}">
      <dgm:prSet/>
      <dgm:spPr/>
      <dgm:t>
        <a:bodyPr/>
        <a:lstStyle/>
        <a:p>
          <a:endParaRPr lang="en-US"/>
        </a:p>
      </dgm:t>
    </dgm:pt>
    <dgm:pt modelId="{D0CE2ABB-4253-4B9C-A0DF-2243E1E73F4B}">
      <dgm:prSet phldrT="[Text]"/>
      <dgm:spPr>
        <a:xfrm rot="5400000">
          <a:off x="2802421" y="3359929"/>
          <a:ext cx="755544" cy="4733061"/>
        </a:xfrm>
        <a:prstGeom prst="round2SameRect">
          <a:avLst/>
        </a:prstGeom>
        <a:ln>
          <a:solidFill>
            <a:schemeClr val="accent1">
              <a:lumMod val="75000"/>
            </a:schemeClr>
          </a:solidFill>
        </a:ln>
      </dgm:spPr>
      <dgm:t>
        <a:bodyPr/>
        <a:lstStyle/>
        <a:p>
          <a:r>
            <a:rPr lang="en-US"/>
            <a:t>Construction will commence once APA has received all regulatory approvals and has obtained easements with landholders</a:t>
          </a:r>
        </a:p>
      </dgm:t>
    </dgm:pt>
    <dgm:pt modelId="{B80E7DF6-5EC8-4B8E-9ED5-C74B2E58CFE4}" type="parTrans" cxnId="{FC9DF445-0A13-415D-9A45-F41DF01E1CA3}">
      <dgm:prSet/>
      <dgm:spPr/>
      <dgm:t>
        <a:bodyPr/>
        <a:lstStyle/>
        <a:p>
          <a:endParaRPr lang="en-US"/>
        </a:p>
      </dgm:t>
    </dgm:pt>
    <dgm:pt modelId="{313E76AE-3291-4DFA-A492-54CD7C625C77}" type="sibTrans" cxnId="{FC9DF445-0A13-415D-9A45-F41DF01E1CA3}">
      <dgm:prSet/>
      <dgm:spPr/>
      <dgm:t>
        <a:bodyPr/>
        <a:lstStyle/>
        <a:p>
          <a:endParaRPr lang="en-US"/>
        </a:p>
      </dgm:t>
    </dgm:pt>
    <dgm:pt modelId="{1104A6E5-BCCE-43AA-B384-D9BAA0910160}">
      <dgm:prSet phldrT="[Text]"/>
      <dgm:spPr>
        <a:xfrm rot="5400000">
          <a:off x="2802421" y="3359929"/>
          <a:ext cx="755544" cy="4733061"/>
        </a:xfrm>
        <a:prstGeom prst="round2SameRect">
          <a:avLst/>
        </a:prstGeom>
        <a:ln>
          <a:solidFill>
            <a:schemeClr val="accent1">
              <a:lumMod val="75000"/>
            </a:schemeClr>
          </a:solidFill>
        </a:ln>
      </dgm:spPr>
      <dgm:t>
        <a:bodyPr/>
        <a:lstStyle/>
        <a:p>
          <a:r>
            <a:rPr lang="en-US"/>
            <a:t>Following construction the pipeline will be tested, commissioned and the disturbance area will be rehabilitated</a:t>
          </a:r>
        </a:p>
      </dgm:t>
    </dgm:pt>
    <dgm:pt modelId="{E9A284B6-3092-4476-80E0-E4EB37D7DDD2}" type="parTrans" cxnId="{3EDEE7FF-68BC-4F5E-B1BF-D1D3A451422A}">
      <dgm:prSet/>
      <dgm:spPr/>
      <dgm:t>
        <a:bodyPr/>
        <a:lstStyle/>
        <a:p>
          <a:endParaRPr lang="en-US"/>
        </a:p>
      </dgm:t>
    </dgm:pt>
    <dgm:pt modelId="{F8F79565-45FC-45D4-9303-A610DF3EBD54}" type="sibTrans" cxnId="{3EDEE7FF-68BC-4F5E-B1BF-D1D3A451422A}">
      <dgm:prSet/>
      <dgm:spPr/>
      <dgm:t>
        <a:bodyPr/>
        <a:lstStyle/>
        <a:p>
          <a:endParaRPr lang="en-US"/>
        </a:p>
      </dgm:t>
    </dgm:pt>
    <dgm:pt modelId="{7F59B0EF-B3E3-459A-B5E4-EA5244CFBD34}">
      <dgm:prSet phldrT="[Text]"/>
      <dgm:spPr>
        <a:xfrm rot="5400000">
          <a:off x="2802421" y="4428757"/>
          <a:ext cx="755544" cy="4733061"/>
        </a:xfrm>
        <a:prstGeom prst="round2SameRect">
          <a:avLst/>
        </a:prstGeom>
        <a:ln>
          <a:solidFill>
            <a:schemeClr val="accent1">
              <a:lumMod val="75000"/>
            </a:schemeClr>
          </a:solidFill>
        </a:ln>
      </dgm:spPr>
      <dgm:t>
        <a:bodyPr/>
        <a:lstStyle/>
        <a:p>
          <a:r>
            <a:rPr lang="en-US"/>
            <a:t>Anticipated operational period of the asset is likely to be in the order of 50 years</a:t>
          </a:r>
        </a:p>
      </dgm:t>
    </dgm:pt>
    <dgm:pt modelId="{064457E8-C4C3-4D53-B258-55E53328DAE1}" type="parTrans" cxnId="{D321A924-B883-489F-908C-14E875A0FF92}">
      <dgm:prSet/>
      <dgm:spPr/>
      <dgm:t>
        <a:bodyPr/>
        <a:lstStyle/>
        <a:p>
          <a:endParaRPr lang="en-US"/>
        </a:p>
      </dgm:t>
    </dgm:pt>
    <dgm:pt modelId="{D4A6A8BF-375B-4496-BE7B-7F1F26AF163D}" type="sibTrans" cxnId="{D321A924-B883-489F-908C-14E875A0FF92}">
      <dgm:prSet/>
      <dgm:spPr/>
      <dgm:t>
        <a:bodyPr/>
        <a:lstStyle/>
        <a:p>
          <a:endParaRPr lang="en-US"/>
        </a:p>
      </dgm:t>
    </dgm:pt>
    <dgm:pt modelId="{0B7DA9DB-8D2D-4D66-A57A-636EBF2B5C6A}">
      <dgm:prSet phldrT="[Text]"/>
      <dgm:spPr>
        <a:xfrm rot="5400000">
          <a:off x="2802421" y="4428757"/>
          <a:ext cx="755544" cy="4733061"/>
        </a:xfrm>
        <a:prstGeom prst="round2SameRect">
          <a:avLst/>
        </a:prstGeom>
        <a:ln>
          <a:solidFill>
            <a:schemeClr val="accent1">
              <a:lumMod val="75000"/>
            </a:schemeClr>
          </a:solidFill>
        </a:ln>
      </dgm:spPr>
      <dgm:t>
        <a:bodyPr/>
        <a:lstStyle/>
        <a:p>
          <a:r>
            <a:rPr lang="en-US"/>
            <a:t>APA will be required to consult with the government and other stakeholders in the future regarding the decommissioning of the asset</a:t>
          </a:r>
        </a:p>
      </dgm:t>
    </dgm:pt>
    <dgm:pt modelId="{D03E22FB-2202-474E-B86C-87A91193BADC}" type="parTrans" cxnId="{3B0A2267-FC5C-4570-955A-C651E714290C}">
      <dgm:prSet/>
      <dgm:spPr/>
      <dgm:t>
        <a:bodyPr/>
        <a:lstStyle/>
        <a:p>
          <a:endParaRPr lang="en-US"/>
        </a:p>
      </dgm:t>
    </dgm:pt>
    <dgm:pt modelId="{6D1DA416-3EB6-46C6-9F8E-D7C83517E884}" type="sibTrans" cxnId="{3B0A2267-FC5C-4570-955A-C651E714290C}">
      <dgm:prSet/>
      <dgm:spPr/>
      <dgm:t>
        <a:bodyPr/>
        <a:lstStyle/>
        <a:p>
          <a:endParaRPr lang="en-US"/>
        </a:p>
      </dgm:t>
    </dgm:pt>
    <dgm:pt modelId="{F5233152-0C1E-4577-96F3-C5BAA6B784F4}">
      <dgm:prSet/>
      <dgm:spPr>
        <a:xfrm rot="5400000">
          <a:off x="2802421" y="2291101"/>
          <a:ext cx="755544" cy="4733061"/>
        </a:xfrm>
        <a:prstGeom prst="round2SameRect">
          <a:avLst/>
        </a:prstGeom>
        <a:ln>
          <a:solidFill>
            <a:schemeClr val="accent1">
              <a:lumMod val="75000"/>
            </a:schemeClr>
          </a:solidFill>
        </a:ln>
      </dgm:spPr>
      <dgm:t>
        <a:bodyPr/>
        <a:lstStyle/>
        <a:p>
          <a:r>
            <a:rPr lang="en-US"/>
            <a:t>APA undertakes the Pipeline Licence application process</a:t>
          </a:r>
        </a:p>
      </dgm:t>
    </dgm:pt>
    <dgm:pt modelId="{454D42F4-E832-4E28-95D2-A5B16B91FB93}" type="parTrans" cxnId="{2C5F7E8E-347E-412E-83D0-ADF4CA10DE49}">
      <dgm:prSet/>
      <dgm:spPr/>
      <dgm:t>
        <a:bodyPr/>
        <a:lstStyle/>
        <a:p>
          <a:endParaRPr lang="en-US"/>
        </a:p>
      </dgm:t>
    </dgm:pt>
    <dgm:pt modelId="{9A89C2E8-AB60-46F5-908E-B99988862734}" type="sibTrans" cxnId="{2C5F7E8E-347E-412E-83D0-ADF4CA10DE49}">
      <dgm:prSet/>
      <dgm:spPr/>
      <dgm:t>
        <a:bodyPr/>
        <a:lstStyle/>
        <a:p>
          <a:endParaRPr lang="en-US"/>
        </a:p>
      </dgm:t>
    </dgm:pt>
    <dgm:pt modelId="{312611CE-F745-4693-A2A0-7FB1A774F055}">
      <dgm:prSet phldrT="[Text]"/>
      <dgm:spPr>
        <a:xfrm rot="5400000">
          <a:off x="2802421" y="-1984210"/>
          <a:ext cx="755544" cy="4733061"/>
        </a:xfrm>
        <a:prstGeom prst="round2SameRect">
          <a:avLst/>
        </a:prstGeom>
        <a:ln>
          <a:solidFill>
            <a:schemeClr val="accent1">
              <a:lumMod val="75000"/>
            </a:schemeClr>
          </a:solidFill>
        </a:ln>
      </dgm:spPr>
      <dgm:t>
        <a:bodyPr/>
        <a:lstStyle/>
        <a:p>
          <a:r>
            <a:rPr lang="en-US"/>
            <a:t>APA to identify key stakeholders who can provide information of relevance to the route selection process</a:t>
          </a:r>
        </a:p>
      </dgm:t>
    </dgm:pt>
    <dgm:pt modelId="{B9C46214-4C41-44B9-9F64-A379D0D5C41B}" type="sibTrans" cxnId="{BBE0D0F0-BB13-42C5-959E-4AAE139D9B47}">
      <dgm:prSet/>
      <dgm:spPr/>
      <dgm:t>
        <a:bodyPr/>
        <a:lstStyle/>
        <a:p>
          <a:endParaRPr lang="en-US"/>
        </a:p>
      </dgm:t>
    </dgm:pt>
    <dgm:pt modelId="{9EF21530-7C84-4E5F-AC4C-ABCA6128CF7A}" type="parTrans" cxnId="{BBE0D0F0-BB13-42C5-959E-4AAE139D9B47}">
      <dgm:prSet/>
      <dgm:spPr/>
      <dgm:t>
        <a:bodyPr/>
        <a:lstStyle/>
        <a:p>
          <a:endParaRPr lang="en-US"/>
        </a:p>
      </dgm:t>
    </dgm:pt>
    <dgm:pt modelId="{B114DE06-AD5C-4C7E-B608-C34C2F46D7A9}">
      <dgm:prSet phldrT="[Text]"/>
      <dgm:spPr>
        <a:xfrm rot="5400000">
          <a:off x="2802421" y="-1984210"/>
          <a:ext cx="755544" cy="4733061"/>
        </a:xfrm>
        <a:prstGeom prst="round2SameRect">
          <a:avLst/>
        </a:prstGeom>
        <a:ln>
          <a:solidFill>
            <a:schemeClr val="accent1">
              <a:lumMod val="75000"/>
            </a:schemeClr>
          </a:solidFill>
        </a:ln>
      </dgm:spPr>
      <dgm:t>
        <a:bodyPr/>
        <a:lstStyle/>
        <a:p>
          <a:r>
            <a:rPr lang="en-US"/>
            <a:t>Meeting with key stakeholders to discuss any potential issues or concerns with the proposed Area of Interest</a:t>
          </a:r>
        </a:p>
      </dgm:t>
    </dgm:pt>
    <dgm:pt modelId="{879EE8E6-B48F-4BD5-BE23-2369B82FFA9F}" type="sibTrans" cxnId="{596D1A11-3825-43FC-84D0-26211DEBD08D}">
      <dgm:prSet/>
      <dgm:spPr/>
      <dgm:t>
        <a:bodyPr/>
        <a:lstStyle/>
        <a:p>
          <a:endParaRPr lang="en-US"/>
        </a:p>
      </dgm:t>
    </dgm:pt>
    <dgm:pt modelId="{13198365-18D9-46A1-8DCD-84D1890DC3E7}" type="parTrans" cxnId="{596D1A11-3825-43FC-84D0-26211DEBD08D}">
      <dgm:prSet/>
      <dgm:spPr/>
      <dgm:t>
        <a:bodyPr/>
        <a:lstStyle/>
        <a:p>
          <a:endParaRPr lang="en-US"/>
        </a:p>
      </dgm:t>
    </dgm:pt>
    <dgm:pt modelId="{CC6E54DE-4078-4F7A-AB8E-22E4BC5DF180}">
      <dgm:prSet phldrT="[Text]"/>
      <dgm:spPr>
        <a:xfrm rot="5400000">
          <a:off x="2802421" y="-1984210"/>
          <a:ext cx="755544" cy="4733061"/>
        </a:xfrm>
        <a:prstGeom prst="round2SameRect">
          <a:avLst/>
        </a:prstGeom>
        <a:ln>
          <a:solidFill>
            <a:schemeClr val="accent1">
              <a:lumMod val="75000"/>
            </a:schemeClr>
          </a:solidFill>
        </a:ln>
      </dgm:spPr>
      <dgm:t>
        <a:bodyPr/>
        <a:lstStyle/>
        <a:p>
          <a:r>
            <a:rPr lang="en-US"/>
            <a:t>Provision of data and other information to inform route selection and risk assessment</a:t>
          </a:r>
        </a:p>
      </dgm:t>
    </dgm:pt>
    <dgm:pt modelId="{8515B4EC-09FC-4DB6-A90A-94C196D99509}" type="sibTrans" cxnId="{AADC4D00-2E7C-40B2-9066-DDC94E6FE734}">
      <dgm:prSet/>
      <dgm:spPr/>
      <dgm:t>
        <a:bodyPr/>
        <a:lstStyle/>
        <a:p>
          <a:endParaRPr lang="en-US"/>
        </a:p>
      </dgm:t>
    </dgm:pt>
    <dgm:pt modelId="{C0AB9B33-63A3-4204-A094-4AC3E1DE839D}" type="parTrans" cxnId="{AADC4D00-2E7C-40B2-9066-DDC94E6FE734}">
      <dgm:prSet/>
      <dgm:spPr/>
      <dgm:t>
        <a:bodyPr/>
        <a:lstStyle/>
        <a:p>
          <a:endParaRPr lang="en-US"/>
        </a:p>
      </dgm:t>
    </dgm:pt>
    <dgm:pt modelId="{F46F7F47-1E08-4B48-B2C8-17EEF2E0A930}">
      <dgm:prSet/>
      <dgm:spPr>
        <a:xfrm rot="5400000">
          <a:off x="2802421" y="2291101"/>
          <a:ext cx="755544" cy="4733061"/>
        </a:xfrm>
        <a:ln>
          <a:solidFill>
            <a:schemeClr val="accent1">
              <a:lumMod val="75000"/>
            </a:schemeClr>
          </a:solidFill>
        </a:ln>
      </dgm:spPr>
      <dgm:t>
        <a:bodyPr/>
        <a:lstStyle/>
        <a:p>
          <a:r>
            <a:rPr lang="en-US"/>
            <a:t>APA seeks Pipeline Licence, regulatory approval of Safety Management Plan and Environmental Management Plan and completes any other secondary approvals</a:t>
          </a:r>
        </a:p>
      </dgm:t>
    </dgm:pt>
    <dgm:pt modelId="{D4985FA3-6E23-414D-AA65-8719897BB0E4}" type="parTrans" cxnId="{678F359A-719E-42C6-9436-DDD32018AAD7}">
      <dgm:prSet/>
      <dgm:spPr/>
      <dgm:t>
        <a:bodyPr/>
        <a:lstStyle/>
        <a:p>
          <a:endParaRPr lang="en-AU"/>
        </a:p>
      </dgm:t>
    </dgm:pt>
    <dgm:pt modelId="{CCF3618A-2EF3-4CD4-8A4A-E4AF5004B401}" type="sibTrans" cxnId="{678F359A-719E-42C6-9436-DDD32018AAD7}">
      <dgm:prSet/>
      <dgm:spPr/>
      <dgm:t>
        <a:bodyPr/>
        <a:lstStyle/>
        <a:p>
          <a:endParaRPr lang="en-AU"/>
        </a:p>
      </dgm:t>
    </dgm:pt>
    <dgm:pt modelId="{2FCBF2F2-FB5F-4181-9773-E667166805D4}">
      <dgm:prSet/>
      <dgm:spPr>
        <a:xfrm rot="5400000">
          <a:off x="2802421" y="-915382"/>
          <a:ext cx="755544" cy="4733061"/>
        </a:xfrm>
        <a:ln>
          <a:solidFill>
            <a:schemeClr val="accent1">
              <a:lumMod val="75000"/>
            </a:schemeClr>
          </a:solidFill>
        </a:ln>
      </dgm:spPr>
      <dgm:t>
        <a:bodyPr/>
        <a:lstStyle/>
        <a:p>
          <a:r>
            <a:rPr lang="en-US"/>
            <a:t>Provision of project-related infomation, discussion on Project and collection of information to populate the landholder database</a:t>
          </a:r>
        </a:p>
      </dgm:t>
    </dgm:pt>
    <dgm:pt modelId="{ABA44F14-78A9-430B-9D9C-F7E6D9FD8008}" type="parTrans" cxnId="{04DB9BDF-966E-424C-8088-9DEDD7029934}">
      <dgm:prSet/>
      <dgm:spPr/>
      <dgm:t>
        <a:bodyPr/>
        <a:lstStyle/>
        <a:p>
          <a:endParaRPr lang="en-AU"/>
        </a:p>
      </dgm:t>
    </dgm:pt>
    <dgm:pt modelId="{FEA54735-C14A-4290-A065-918AF5A95972}" type="sibTrans" cxnId="{04DB9BDF-966E-424C-8088-9DEDD7029934}">
      <dgm:prSet/>
      <dgm:spPr/>
      <dgm:t>
        <a:bodyPr/>
        <a:lstStyle/>
        <a:p>
          <a:endParaRPr lang="en-AU"/>
        </a:p>
      </dgm:t>
    </dgm:pt>
    <dgm:pt modelId="{E019D5C5-5015-47BF-BD0A-40A7F15E50A3}" type="pres">
      <dgm:prSet presAssocID="{F69634D4-5693-4CF6-A2B2-DD6B36BEA52D}" presName="linearFlow" presStyleCnt="0">
        <dgm:presLayoutVars>
          <dgm:dir/>
          <dgm:animLvl val="lvl"/>
          <dgm:resizeHandles val="exact"/>
        </dgm:presLayoutVars>
      </dgm:prSet>
      <dgm:spPr/>
    </dgm:pt>
    <dgm:pt modelId="{DDBAD849-626E-4651-8ADD-AC4D0C386FC5}" type="pres">
      <dgm:prSet presAssocID="{397DB664-11CE-4739-BE4B-FC74F9F886FB}" presName="composite" presStyleCnt="0"/>
      <dgm:spPr/>
    </dgm:pt>
    <dgm:pt modelId="{1A7FEA82-03D0-4BDD-BD53-318E255221EF}" type="pres">
      <dgm:prSet presAssocID="{397DB664-11CE-4739-BE4B-FC74F9F886FB}" presName="parentText" presStyleLbl="alignNode1" presStyleIdx="0" presStyleCnt="7">
        <dgm:presLayoutVars>
          <dgm:chMax val="1"/>
          <dgm:bulletEnabled val="1"/>
        </dgm:presLayoutVars>
      </dgm:prSet>
      <dgm:spPr/>
    </dgm:pt>
    <dgm:pt modelId="{9140C68C-FB9D-491E-BC85-DE0AEAF33AFA}" type="pres">
      <dgm:prSet presAssocID="{397DB664-11CE-4739-BE4B-FC74F9F886FB}" presName="descendantText" presStyleLbl="alignAcc1" presStyleIdx="0" presStyleCnt="7">
        <dgm:presLayoutVars>
          <dgm:bulletEnabled val="1"/>
        </dgm:presLayoutVars>
      </dgm:prSet>
      <dgm:spPr/>
    </dgm:pt>
    <dgm:pt modelId="{D10CEAF3-E4C0-46E8-B022-3D8FD28CC464}" type="pres">
      <dgm:prSet presAssocID="{3CA5D002-12A0-4DD6-B8C7-CCB4F85DD48A}" presName="sp" presStyleCnt="0"/>
      <dgm:spPr/>
    </dgm:pt>
    <dgm:pt modelId="{C563A4F6-FB92-4310-A311-70EFC562215D}" type="pres">
      <dgm:prSet presAssocID="{7F7F4999-0661-47AD-B8D6-CEF6C05D2557}" presName="composite" presStyleCnt="0"/>
      <dgm:spPr/>
    </dgm:pt>
    <dgm:pt modelId="{C4EFA82D-7489-4F8C-9E31-30529302D724}" type="pres">
      <dgm:prSet presAssocID="{7F7F4999-0661-47AD-B8D6-CEF6C05D2557}" presName="parentText" presStyleLbl="alignNode1" presStyleIdx="1" presStyleCnt="7">
        <dgm:presLayoutVars>
          <dgm:chMax val="1"/>
          <dgm:bulletEnabled val="1"/>
        </dgm:presLayoutVars>
      </dgm:prSet>
      <dgm:spPr/>
    </dgm:pt>
    <dgm:pt modelId="{6535870C-6553-4393-89DB-CC845FA27BC0}" type="pres">
      <dgm:prSet presAssocID="{7F7F4999-0661-47AD-B8D6-CEF6C05D2557}" presName="descendantText" presStyleLbl="alignAcc1" presStyleIdx="1" presStyleCnt="7">
        <dgm:presLayoutVars>
          <dgm:bulletEnabled val="1"/>
        </dgm:presLayoutVars>
      </dgm:prSet>
      <dgm:spPr/>
    </dgm:pt>
    <dgm:pt modelId="{7CADF725-4CA7-47E7-9909-62A30E22FD55}" type="pres">
      <dgm:prSet presAssocID="{E9753EDF-1EEB-42C0-B1B4-0B1FC8192322}" presName="sp" presStyleCnt="0"/>
      <dgm:spPr/>
    </dgm:pt>
    <dgm:pt modelId="{B72FFF9F-2FE6-4E1F-807D-2FA60BC04AF9}" type="pres">
      <dgm:prSet presAssocID="{E0A0FADB-D3C1-4AFC-9679-0CBC6B07648D}" presName="composite" presStyleCnt="0"/>
      <dgm:spPr/>
    </dgm:pt>
    <dgm:pt modelId="{D8D4EB4B-5BD9-4B12-AA13-66BA6BC8556C}" type="pres">
      <dgm:prSet presAssocID="{E0A0FADB-D3C1-4AFC-9679-0CBC6B07648D}" presName="parentText" presStyleLbl="alignNode1" presStyleIdx="2" presStyleCnt="7">
        <dgm:presLayoutVars>
          <dgm:chMax val="1"/>
          <dgm:bulletEnabled val="1"/>
        </dgm:presLayoutVars>
      </dgm:prSet>
      <dgm:spPr/>
    </dgm:pt>
    <dgm:pt modelId="{350AF5FA-5467-4A2B-8E82-6ECE219928B9}" type="pres">
      <dgm:prSet presAssocID="{E0A0FADB-D3C1-4AFC-9679-0CBC6B07648D}" presName="descendantText" presStyleLbl="alignAcc1" presStyleIdx="2" presStyleCnt="7">
        <dgm:presLayoutVars>
          <dgm:bulletEnabled val="1"/>
        </dgm:presLayoutVars>
      </dgm:prSet>
      <dgm:spPr/>
    </dgm:pt>
    <dgm:pt modelId="{21015A01-C835-4E0D-BE0A-08FDDE734530}" type="pres">
      <dgm:prSet presAssocID="{FDF44D06-FBD7-4569-A674-D5E825CB2510}" presName="sp" presStyleCnt="0"/>
      <dgm:spPr/>
    </dgm:pt>
    <dgm:pt modelId="{E9071F4F-8D7C-4366-84E1-DBADC2CBDD90}" type="pres">
      <dgm:prSet presAssocID="{5BCE7B74-857F-4F84-BE3F-0C03054BD9F1}" presName="composite" presStyleCnt="0"/>
      <dgm:spPr/>
    </dgm:pt>
    <dgm:pt modelId="{FEB1EEB7-3781-47D9-AB84-48515941286E}" type="pres">
      <dgm:prSet presAssocID="{5BCE7B74-857F-4F84-BE3F-0C03054BD9F1}" presName="parentText" presStyleLbl="alignNode1" presStyleIdx="3" presStyleCnt="7">
        <dgm:presLayoutVars>
          <dgm:chMax val="1"/>
          <dgm:bulletEnabled val="1"/>
        </dgm:presLayoutVars>
      </dgm:prSet>
      <dgm:spPr/>
    </dgm:pt>
    <dgm:pt modelId="{EB4A1733-F47E-456D-82E3-CD11A7CA6CFE}" type="pres">
      <dgm:prSet presAssocID="{5BCE7B74-857F-4F84-BE3F-0C03054BD9F1}" presName="descendantText" presStyleLbl="alignAcc1" presStyleIdx="3" presStyleCnt="7">
        <dgm:presLayoutVars>
          <dgm:bulletEnabled val="1"/>
        </dgm:presLayoutVars>
      </dgm:prSet>
      <dgm:spPr/>
    </dgm:pt>
    <dgm:pt modelId="{FC034CAD-5A56-433D-83C7-E2A434BFB1AD}" type="pres">
      <dgm:prSet presAssocID="{E1260A5C-2211-40BD-8F8F-A7AFF491F8E8}" presName="sp" presStyleCnt="0"/>
      <dgm:spPr/>
    </dgm:pt>
    <dgm:pt modelId="{6E2FF3CA-A3A3-4E1F-B8CB-0A3264B27CE8}" type="pres">
      <dgm:prSet presAssocID="{F700D70A-9832-456E-B726-E0E85188CF27}" presName="composite" presStyleCnt="0"/>
      <dgm:spPr/>
    </dgm:pt>
    <dgm:pt modelId="{988FE511-94E0-4C9E-9574-E9C58A0D2E1D}" type="pres">
      <dgm:prSet presAssocID="{F700D70A-9832-456E-B726-E0E85188CF27}" presName="parentText" presStyleLbl="alignNode1" presStyleIdx="4" presStyleCnt="7">
        <dgm:presLayoutVars>
          <dgm:chMax val="1"/>
          <dgm:bulletEnabled val="1"/>
        </dgm:presLayoutVars>
      </dgm:prSet>
      <dgm:spPr/>
    </dgm:pt>
    <dgm:pt modelId="{19BEA9B9-2D2B-4E82-9262-1DFCAB3F678D}" type="pres">
      <dgm:prSet presAssocID="{F700D70A-9832-456E-B726-E0E85188CF27}" presName="descendantText" presStyleLbl="alignAcc1" presStyleIdx="4" presStyleCnt="7">
        <dgm:presLayoutVars>
          <dgm:bulletEnabled val="1"/>
        </dgm:presLayoutVars>
      </dgm:prSet>
      <dgm:spPr/>
    </dgm:pt>
    <dgm:pt modelId="{6C2160F5-A876-40DA-AE51-C32AEA638F98}" type="pres">
      <dgm:prSet presAssocID="{5E76BA6E-FCD5-41E7-B113-49EFC38A70E1}" presName="sp" presStyleCnt="0"/>
      <dgm:spPr/>
    </dgm:pt>
    <dgm:pt modelId="{5DFE4262-C029-4FFA-9618-13D18FD4B938}" type="pres">
      <dgm:prSet presAssocID="{8C085F67-A081-4A05-96CA-DD97C2CA070C}" presName="composite" presStyleCnt="0"/>
      <dgm:spPr/>
    </dgm:pt>
    <dgm:pt modelId="{59B4F60D-026A-483F-84AF-6A1C3DAF6A86}" type="pres">
      <dgm:prSet presAssocID="{8C085F67-A081-4A05-96CA-DD97C2CA070C}" presName="parentText" presStyleLbl="alignNode1" presStyleIdx="5" presStyleCnt="7">
        <dgm:presLayoutVars>
          <dgm:chMax val="1"/>
          <dgm:bulletEnabled val="1"/>
        </dgm:presLayoutVars>
      </dgm:prSet>
      <dgm:spPr/>
    </dgm:pt>
    <dgm:pt modelId="{97458F7F-3750-4446-903C-D8610D138405}" type="pres">
      <dgm:prSet presAssocID="{8C085F67-A081-4A05-96CA-DD97C2CA070C}" presName="descendantText" presStyleLbl="alignAcc1" presStyleIdx="5" presStyleCnt="7">
        <dgm:presLayoutVars>
          <dgm:bulletEnabled val="1"/>
        </dgm:presLayoutVars>
      </dgm:prSet>
      <dgm:spPr/>
    </dgm:pt>
    <dgm:pt modelId="{9547DF6E-B097-4BBB-B1D4-768F4984BFB4}" type="pres">
      <dgm:prSet presAssocID="{88C15574-2966-4F0D-8DAB-36887D019B1B}" presName="sp" presStyleCnt="0"/>
      <dgm:spPr/>
    </dgm:pt>
    <dgm:pt modelId="{27FCF22A-3F31-46F1-96AD-9372EBBC3E28}" type="pres">
      <dgm:prSet presAssocID="{4FCCC512-4CEE-426B-9BED-EE0848A28AA9}" presName="composite" presStyleCnt="0"/>
      <dgm:spPr/>
    </dgm:pt>
    <dgm:pt modelId="{F5C9BB1B-28E9-47C1-B44C-07EDC0760FD6}" type="pres">
      <dgm:prSet presAssocID="{4FCCC512-4CEE-426B-9BED-EE0848A28AA9}" presName="parentText" presStyleLbl="alignNode1" presStyleIdx="6" presStyleCnt="7">
        <dgm:presLayoutVars>
          <dgm:chMax val="1"/>
          <dgm:bulletEnabled val="1"/>
        </dgm:presLayoutVars>
      </dgm:prSet>
      <dgm:spPr/>
    </dgm:pt>
    <dgm:pt modelId="{C2679D77-2AF0-4747-A6AC-48EFDB50843F}" type="pres">
      <dgm:prSet presAssocID="{4FCCC512-4CEE-426B-9BED-EE0848A28AA9}" presName="descendantText" presStyleLbl="alignAcc1" presStyleIdx="6" presStyleCnt="7">
        <dgm:presLayoutVars>
          <dgm:bulletEnabled val="1"/>
        </dgm:presLayoutVars>
      </dgm:prSet>
      <dgm:spPr/>
    </dgm:pt>
  </dgm:ptLst>
  <dgm:cxnLst>
    <dgm:cxn modelId="{AADC4D00-2E7C-40B2-9066-DDC94E6FE734}" srcId="{397DB664-11CE-4739-BE4B-FC74F9F886FB}" destId="{CC6E54DE-4078-4F7A-AB8E-22E4BC5DF180}" srcOrd="2" destOrd="0" parTransId="{C0AB9B33-63A3-4204-A094-4AC3E1DE839D}" sibTransId="{8515B4EC-09FC-4DB6-A90A-94C196D99509}"/>
    <dgm:cxn modelId="{51A21E02-6BB8-42A1-9EAB-C243D9A6F309}" srcId="{F700D70A-9832-456E-B726-E0E85188CF27}" destId="{01973F9C-C35D-4770-8601-CDD9F4B80BFD}" srcOrd="0" destOrd="0" parTransId="{3C2AF949-CBE6-4B51-8A1F-7F466B155D62}" sibTransId="{7E2002FE-07EB-40A4-A98D-AA60F00FF151}"/>
    <dgm:cxn modelId="{02CA3402-1352-4456-A999-B5AF8DA992A1}" srcId="{F69634D4-5693-4CF6-A2B2-DD6B36BEA52D}" destId="{E0A0FADB-D3C1-4AFC-9679-0CBC6B07648D}" srcOrd="2" destOrd="0" parTransId="{144C5338-6980-4D8A-A679-87AB79E7D40B}" sibTransId="{FDF44D06-FBD7-4569-A674-D5E825CB2510}"/>
    <dgm:cxn modelId="{C8BEBC0A-8377-4AA5-BDD3-EBFCA6C4AFE7}" type="presOf" srcId="{2089FCF3-6FFA-4CCA-8480-B31215AAF781}" destId="{EB4A1733-F47E-456D-82E3-CD11A7CA6CFE}" srcOrd="0" destOrd="2" presId="urn:microsoft.com/office/officeart/2005/8/layout/chevron2"/>
    <dgm:cxn modelId="{DB58400C-260F-4836-BF44-F9910DFD3840}" srcId="{F69634D4-5693-4CF6-A2B2-DD6B36BEA52D}" destId="{5BCE7B74-857F-4F84-BE3F-0C03054BD9F1}" srcOrd="3" destOrd="0" parTransId="{7D2ABA09-38FE-41B8-AF70-FA07D7D26240}" sibTransId="{E1260A5C-2211-40BD-8F8F-A7AFF491F8E8}"/>
    <dgm:cxn modelId="{C2D2AD0C-8E47-4AC1-9D4E-4833B419BB6B}" type="presOf" srcId="{7F7F4999-0661-47AD-B8D6-CEF6C05D2557}" destId="{C4EFA82D-7489-4F8C-9E31-30529302D724}" srcOrd="0" destOrd="0" presId="urn:microsoft.com/office/officeart/2005/8/layout/chevron2"/>
    <dgm:cxn modelId="{31891B0D-373B-4087-A1BE-46FAF1DFB859}" type="presOf" srcId="{2FCBF2F2-FB5F-4181-9773-E667166805D4}" destId="{6535870C-6553-4393-89DB-CC845FA27BC0}" srcOrd="0" destOrd="2" presId="urn:microsoft.com/office/officeart/2005/8/layout/chevron2"/>
    <dgm:cxn modelId="{596D1A11-3825-43FC-84D0-26211DEBD08D}" srcId="{397DB664-11CE-4739-BE4B-FC74F9F886FB}" destId="{B114DE06-AD5C-4C7E-B608-C34C2F46D7A9}" srcOrd="1" destOrd="0" parTransId="{13198365-18D9-46A1-8DCD-84D1890DC3E7}" sibTransId="{879EE8E6-B48F-4BD5-BE23-2369B82FFA9F}"/>
    <dgm:cxn modelId="{DE1C1A16-1352-473C-A30C-86FFD34103C5}" type="presOf" srcId="{5DF5CD42-A06C-443E-9EC1-B4283111F9BE}" destId="{6535870C-6553-4393-89DB-CC845FA27BC0}" srcOrd="0" destOrd="1" presId="urn:microsoft.com/office/officeart/2005/8/layout/chevron2"/>
    <dgm:cxn modelId="{381FB71C-545E-45B5-93E8-D8EA0EFD0108}" type="presOf" srcId="{F3F025B9-49B3-4583-94E0-5FC55E80A458}" destId="{EB4A1733-F47E-456D-82E3-CD11A7CA6CFE}" srcOrd="0" destOrd="0" presId="urn:microsoft.com/office/officeart/2005/8/layout/chevron2"/>
    <dgm:cxn modelId="{F8093D22-9A2F-4FCD-A8ED-EB03736DE7D2}" type="presOf" srcId="{1104A6E5-BCCE-43AA-B384-D9BAA0910160}" destId="{97458F7F-3750-4446-903C-D8610D138405}" srcOrd="0" destOrd="2" presId="urn:microsoft.com/office/officeart/2005/8/layout/chevron2"/>
    <dgm:cxn modelId="{D321A924-B883-489F-908C-14E875A0FF92}" srcId="{4FCCC512-4CEE-426B-9BED-EE0848A28AA9}" destId="{7F59B0EF-B3E3-459A-B5E4-EA5244CFBD34}" srcOrd="1" destOrd="0" parTransId="{064457E8-C4C3-4D53-B258-55E53328DAE1}" sibTransId="{D4A6A8BF-375B-4496-BE7B-7F1F26AF163D}"/>
    <dgm:cxn modelId="{C83C0F25-D166-4994-87DD-0797D774DEE9}" type="presOf" srcId="{B114DE06-AD5C-4C7E-B608-C34C2F46D7A9}" destId="{9140C68C-FB9D-491E-BC85-DE0AEAF33AFA}" srcOrd="0" destOrd="1" presId="urn:microsoft.com/office/officeart/2005/8/layout/chevron2"/>
    <dgm:cxn modelId="{25B24029-979A-493E-889F-CED9E9FDE644}" type="presOf" srcId="{F700D70A-9832-456E-B726-E0E85188CF27}" destId="{988FE511-94E0-4C9E-9574-E9C58A0D2E1D}" srcOrd="0" destOrd="0" presId="urn:microsoft.com/office/officeart/2005/8/layout/chevron2"/>
    <dgm:cxn modelId="{41691F36-1354-4522-9647-085A215DA953}" srcId="{F69634D4-5693-4CF6-A2B2-DD6B36BEA52D}" destId="{397DB664-11CE-4739-BE4B-FC74F9F886FB}" srcOrd="0" destOrd="0" parTransId="{F1DA2E7C-24B4-4325-B30F-69746955AA2D}" sibTransId="{3CA5D002-12A0-4DD6-B8C7-CCB4F85DD48A}"/>
    <dgm:cxn modelId="{BB122337-612A-43A4-BFE6-4123C0329F3B}" type="presOf" srcId="{CC6E54DE-4078-4F7A-AB8E-22E4BC5DF180}" destId="{9140C68C-FB9D-491E-BC85-DE0AEAF33AFA}" srcOrd="0" destOrd="2" presId="urn:microsoft.com/office/officeart/2005/8/layout/chevron2"/>
    <dgm:cxn modelId="{036AAC3D-8A73-42F3-9EDE-D27A7BEE1903}" srcId="{5BCE7B74-857F-4F84-BE3F-0C03054BD9F1}" destId="{F3F025B9-49B3-4583-94E0-5FC55E80A458}" srcOrd="0" destOrd="0" parTransId="{3C3B0C46-EA55-4B60-831E-7D51ED2A86B2}" sibTransId="{62DC7030-B323-42BD-BBF1-2F4D441C9BA8}"/>
    <dgm:cxn modelId="{07B7FC5C-0CD2-4611-9BBD-3F5199D3784B}" type="presOf" srcId="{0B7DA9DB-8D2D-4D66-A57A-636EBF2B5C6A}" destId="{C2679D77-2AF0-4747-A6AC-48EFDB50843F}" srcOrd="0" destOrd="2" presId="urn:microsoft.com/office/officeart/2005/8/layout/chevron2"/>
    <dgm:cxn modelId="{63720E62-3C6F-4C54-93D6-4CFEE3D38DE2}" srcId="{5BCE7B74-857F-4F84-BE3F-0C03054BD9F1}" destId="{31665A62-238E-425A-8C7F-6A9A06870350}" srcOrd="1" destOrd="0" parTransId="{CC6D14F0-3B74-4DCD-A7A5-8CAF2258FC3F}" sibTransId="{890AA3D7-FA85-43A3-BC66-F09964F0C15B}"/>
    <dgm:cxn modelId="{FC9DF445-0A13-415D-9A45-F41DF01E1CA3}" srcId="{8C085F67-A081-4A05-96CA-DD97C2CA070C}" destId="{D0CE2ABB-4253-4B9C-A0DF-2243E1E73F4B}" srcOrd="1" destOrd="0" parTransId="{B80E7DF6-5EC8-4B8E-9ED5-C74B2E58CFE4}" sibTransId="{313E76AE-3291-4DFA-A492-54CD7C625C77}"/>
    <dgm:cxn modelId="{3B0A2267-FC5C-4570-955A-C651E714290C}" srcId="{4FCCC512-4CEE-426B-9BED-EE0848A28AA9}" destId="{0B7DA9DB-8D2D-4D66-A57A-636EBF2B5C6A}" srcOrd="2" destOrd="0" parTransId="{D03E22FB-2202-474E-B86C-87A91193BADC}" sibTransId="{6D1DA416-3EB6-46C6-9F8E-D7C83517E884}"/>
    <dgm:cxn modelId="{D5CE5247-4E88-484F-86E7-C15383DE65E7}" type="presOf" srcId="{D0CE2ABB-4253-4B9C-A0DF-2243E1E73F4B}" destId="{97458F7F-3750-4446-903C-D8610D138405}" srcOrd="0" destOrd="1" presId="urn:microsoft.com/office/officeart/2005/8/layout/chevron2"/>
    <dgm:cxn modelId="{EFF19A69-AA9B-4648-881B-5EC7DB0BA711}" srcId="{7F7F4999-0661-47AD-B8D6-CEF6C05D2557}" destId="{5DF5CD42-A06C-443E-9EC1-B4283111F9BE}" srcOrd="1" destOrd="0" parTransId="{7B3DD6B9-082A-47B9-935D-8E73F50AAB76}" sibTransId="{F4E193CB-C212-457E-A0B1-2E34BFC9BBAA}"/>
    <dgm:cxn modelId="{1B3E506A-0DE6-4F66-BECA-FE892764EEB7}" srcId="{8C085F67-A081-4A05-96CA-DD97C2CA070C}" destId="{3F9EDC31-C698-4C10-8377-453605BF827A}" srcOrd="0" destOrd="0" parTransId="{FA648620-1461-46D5-879B-3C66CF489973}" sibTransId="{8574988A-867B-405B-BC33-E6B1AC471264}"/>
    <dgm:cxn modelId="{FF722651-8F9A-49D2-A389-6414263FC2C4}" type="presOf" srcId="{F5233152-0C1E-4577-96F3-C5BAA6B784F4}" destId="{19BEA9B9-2D2B-4E82-9262-1DFCAB3F678D}" srcOrd="0" destOrd="1" presId="urn:microsoft.com/office/officeart/2005/8/layout/chevron2"/>
    <dgm:cxn modelId="{FA730055-D6E2-4D54-A108-3532170C4768}" type="presOf" srcId="{F69634D4-5693-4CF6-A2B2-DD6B36BEA52D}" destId="{E019D5C5-5015-47BF-BD0A-40A7F15E50A3}" srcOrd="0" destOrd="0" presId="urn:microsoft.com/office/officeart/2005/8/layout/chevron2"/>
    <dgm:cxn modelId="{0B3F7E76-1D50-4F6D-9407-66130A6C1181}" type="presOf" srcId="{174384B8-86C5-4074-89C8-25101EE8579C}" destId="{6535870C-6553-4393-89DB-CC845FA27BC0}" srcOrd="0" destOrd="0" presId="urn:microsoft.com/office/officeart/2005/8/layout/chevron2"/>
    <dgm:cxn modelId="{710BB976-A71D-4B7D-81CB-711B2FD66DC5}" srcId="{4FCCC512-4CEE-426B-9BED-EE0848A28AA9}" destId="{C8EFD7CD-52EC-4130-8BB8-B784E2B287CD}" srcOrd="0" destOrd="0" parTransId="{72F67D88-AB4E-49D9-8E24-94383D95694B}" sibTransId="{CA5A9F3E-7E19-4EA5-8A13-7A2EB0343A3A}"/>
    <dgm:cxn modelId="{3C3F0277-DEB7-40F6-AE52-33332C5465CB}" srcId="{F69634D4-5693-4CF6-A2B2-DD6B36BEA52D}" destId="{7F7F4999-0661-47AD-B8D6-CEF6C05D2557}" srcOrd="1" destOrd="0" parTransId="{99D52D67-C84D-4901-A84F-4D79DE3751C2}" sibTransId="{E9753EDF-1EEB-42C0-B1B4-0B1FC8192322}"/>
    <dgm:cxn modelId="{78E83A59-5051-4EF6-B47A-4B90ECB306D6}" type="presOf" srcId="{5BCE7B74-857F-4F84-BE3F-0C03054BD9F1}" destId="{FEB1EEB7-3781-47D9-AB84-48515941286E}" srcOrd="0" destOrd="0" presId="urn:microsoft.com/office/officeart/2005/8/layout/chevron2"/>
    <dgm:cxn modelId="{DE03EB83-05C6-41E3-88FF-36D0894F093D}" srcId="{E0A0FADB-D3C1-4AFC-9679-0CBC6B07648D}" destId="{A9EBFDCD-B054-48D2-A725-6EBA75BC46CC}" srcOrd="0" destOrd="0" parTransId="{47B09929-5A62-4324-9BBC-CC3A8D2069FD}" sibTransId="{0BBC5A21-DB07-4D0E-90D8-22BA7486B399}"/>
    <dgm:cxn modelId="{16D4B087-CAC9-4A8A-BD47-DCAAACA42718}" type="presOf" srcId="{4FCCC512-4CEE-426B-9BED-EE0848A28AA9}" destId="{F5C9BB1B-28E9-47C1-B44C-07EDC0760FD6}" srcOrd="0" destOrd="0" presId="urn:microsoft.com/office/officeart/2005/8/layout/chevron2"/>
    <dgm:cxn modelId="{2A528988-4312-4FBF-A768-FC72F06777C6}" srcId="{F69634D4-5693-4CF6-A2B2-DD6B36BEA52D}" destId="{4FCCC512-4CEE-426B-9BED-EE0848A28AA9}" srcOrd="6" destOrd="0" parTransId="{5418421D-8357-41AF-B896-83A03AD25405}" sibTransId="{6F9E7F74-B200-4DE3-8C07-576B750AF50C}"/>
    <dgm:cxn modelId="{2C5F7E8E-347E-412E-83D0-ADF4CA10DE49}" srcId="{F700D70A-9832-456E-B726-E0E85188CF27}" destId="{F5233152-0C1E-4577-96F3-C5BAA6B784F4}" srcOrd="1" destOrd="0" parTransId="{454D42F4-E832-4E28-95D2-A5B16B91FB93}" sibTransId="{9A89C2E8-AB60-46F5-908E-B99988862734}"/>
    <dgm:cxn modelId="{C7C13E90-0A75-42DF-9E84-FE3ACFECD02B}" type="presOf" srcId="{8C085F67-A081-4A05-96CA-DD97C2CA070C}" destId="{59B4F60D-026A-483F-84AF-6A1C3DAF6A86}" srcOrd="0" destOrd="0" presId="urn:microsoft.com/office/officeart/2005/8/layout/chevron2"/>
    <dgm:cxn modelId="{53E26799-E03B-4764-8D15-01A4FFC51A16}" type="presOf" srcId="{A9EBFDCD-B054-48D2-A725-6EBA75BC46CC}" destId="{350AF5FA-5467-4A2B-8E82-6ECE219928B9}" srcOrd="0" destOrd="0" presId="urn:microsoft.com/office/officeart/2005/8/layout/chevron2"/>
    <dgm:cxn modelId="{678F359A-719E-42C6-9436-DDD32018AAD7}" srcId="{F700D70A-9832-456E-B726-E0E85188CF27}" destId="{F46F7F47-1E08-4B48-B2C8-17EEF2E0A930}" srcOrd="2" destOrd="0" parTransId="{D4985FA3-6E23-414D-AA65-8719897BB0E4}" sibTransId="{CCF3618A-2EF3-4CD4-8A4A-E4AF5004B401}"/>
    <dgm:cxn modelId="{CBB587A2-6791-4690-8BE3-0B4EF08AF160}" type="presOf" srcId="{397DB664-11CE-4739-BE4B-FC74F9F886FB}" destId="{1A7FEA82-03D0-4BDD-BD53-318E255221EF}" srcOrd="0" destOrd="0" presId="urn:microsoft.com/office/officeart/2005/8/layout/chevron2"/>
    <dgm:cxn modelId="{358704A7-8ED5-426D-A6A1-C995AB3EEC78}" type="presOf" srcId="{3F9EDC31-C698-4C10-8377-453605BF827A}" destId="{97458F7F-3750-4446-903C-D8610D138405}" srcOrd="0" destOrd="0" presId="urn:microsoft.com/office/officeart/2005/8/layout/chevron2"/>
    <dgm:cxn modelId="{355B4EA9-6750-4D8F-86D3-2C850CE20B83}" type="presOf" srcId="{E0A0FADB-D3C1-4AFC-9679-0CBC6B07648D}" destId="{D8D4EB4B-5BD9-4B12-AA13-66BA6BC8556C}" srcOrd="0" destOrd="0" presId="urn:microsoft.com/office/officeart/2005/8/layout/chevron2"/>
    <dgm:cxn modelId="{072B9CB6-B7E8-4927-AF33-85211A36DBF6}" type="presOf" srcId="{01973F9C-C35D-4770-8601-CDD9F4B80BFD}" destId="{19BEA9B9-2D2B-4E82-9262-1DFCAB3F678D}" srcOrd="0" destOrd="0" presId="urn:microsoft.com/office/officeart/2005/8/layout/chevron2"/>
    <dgm:cxn modelId="{107DD7BB-B80E-4648-9F3D-D404A704BA18}" type="presOf" srcId="{312611CE-F745-4693-A2A0-7FB1A774F055}" destId="{9140C68C-FB9D-491E-BC85-DE0AEAF33AFA}" srcOrd="0" destOrd="0" presId="urn:microsoft.com/office/officeart/2005/8/layout/chevron2"/>
    <dgm:cxn modelId="{B23EC5BC-93E2-44CA-B0D2-6EAABD7F091E}" srcId="{F69634D4-5693-4CF6-A2B2-DD6B36BEA52D}" destId="{F700D70A-9832-456E-B726-E0E85188CF27}" srcOrd="4" destOrd="0" parTransId="{C35E620A-6247-4BF0-B7EA-A06D458416AD}" sibTransId="{5E76BA6E-FCD5-41E7-B113-49EFC38A70E1}"/>
    <dgm:cxn modelId="{0C46A3C0-CF04-4D37-B1AE-8E3B01A9AA83}" type="presOf" srcId="{C8EFD7CD-52EC-4130-8BB8-B784E2B287CD}" destId="{C2679D77-2AF0-4747-A6AC-48EFDB50843F}" srcOrd="0" destOrd="0" presId="urn:microsoft.com/office/officeart/2005/8/layout/chevron2"/>
    <dgm:cxn modelId="{34E239C8-875C-4CF6-9C4F-51BD427A5CC5}" srcId="{5BCE7B74-857F-4F84-BE3F-0C03054BD9F1}" destId="{2089FCF3-6FFA-4CCA-8480-B31215AAF781}" srcOrd="2" destOrd="0" parTransId="{863C57A9-15ED-4F6D-ACC1-8A915F2E055D}" sibTransId="{93D930AE-80AC-4F72-BF67-A9AC32776CEA}"/>
    <dgm:cxn modelId="{3C2EE6C8-1DA3-404D-B502-AD0FDE0F9569}" srcId="{E0A0FADB-D3C1-4AFC-9679-0CBC6B07648D}" destId="{CD6C7657-7FD6-4CC4-8AD7-8C518107568C}" srcOrd="1" destOrd="0" parTransId="{0CFACB58-6DD0-4666-9511-3C48004979AC}" sibTransId="{E33333D3-7B6F-48E5-9658-922E1260AFC6}"/>
    <dgm:cxn modelId="{4C8D93C9-E852-42B2-8D0B-73EE667E5BCC}" srcId="{E0A0FADB-D3C1-4AFC-9679-0CBC6B07648D}" destId="{E20771CC-F736-40D9-A0D5-D930AAA7FF5B}" srcOrd="3" destOrd="0" parTransId="{A2220864-F518-4BA7-BB63-9D2A37EFA34C}" sibTransId="{844E8D09-E255-4AF5-A389-C233F1171D25}"/>
    <dgm:cxn modelId="{E2A490CD-2D55-4B37-A86C-7026DDF34B81}" type="presOf" srcId="{F46F7F47-1E08-4B48-B2C8-17EEF2E0A930}" destId="{19BEA9B9-2D2B-4E82-9262-1DFCAB3F678D}" srcOrd="0" destOrd="2" presId="urn:microsoft.com/office/officeart/2005/8/layout/chevron2"/>
    <dgm:cxn modelId="{38D8CBD4-DFE8-45C1-957B-EB1F57D5C30F}" srcId="{E0A0FADB-D3C1-4AFC-9679-0CBC6B07648D}" destId="{17A6D0EF-A246-4EFC-9A41-7F0C85BEE373}" srcOrd="2" destOrd="0" parTransId="{DA052C4A-4AA3-47CF-A940-30B7770241F0}" sibTransId="{E00233C4-8FA1-4780-8C6B-DACEBAEF7287}"/>
    <dgm:cxn modelId="{04DB9BDF-966E-424C-8088-9DEDD7029934}" srcId="{7F7F4999-0661-47AD-B8D6-CEF6C05D2557}" destId="{2FCBF2F2-FB5F-4181-9773-E667166805D4}" srcOrd="2" destOrd="0" parTransId="{ABA44F14-78A9-430B-9D9C-F7E6D9FD8008}" sibTransId="{FEA54735-C14A-4290-A065-918AF5A95972}"/>
    <dgm:cxn modelId="{C4934DE0-3856-4E03-A7F5-26AEA8AED99B}" type="presOf" srcId="{E20771CC-F736-40D9-A0D5-D930AAA7FF5B}" destId="{350AF5FA-5467-4A2B-8E82-6ECE219928B9}" srcOrd="0" destOrd="3" presId="urn:microsoft.com/office/officeart/2005/8/layout/chevron2"/>
    <dgm:cxn modelId="{3CE3FDE2-D6C4-4F2E-BDFF-0B05818A1340}" srcId="{F69634D4-5693-4CF6-A2B2-DD6B36BEA52D}" destId="{8C085F67-A081-4A05-96CA-DD97C2CA070C}" srcOrd="5" destOrd="0" parTransId="{E54F499A-EB8C-4D0A-B0CF-D88764AABCEC}" sibTransId="{88C15574-2966-4F0D-8DAB-36887D019B1B}"/>
    <dgm:cxn modelId="{1C2535E3-085C-4A8D-B510-FCCB0ECA3519}" type="presOf" srcId="{CD6C7657-7FD6-4CC4-8AD7-8C518107568C}" destId="{350AF5FA-5467-4A2B-8E82-6ECE219928B9}" srcOrd="0" destOrd="1" presId="urn:microsoft.com/office/officeart/2005/8/layout/chevron2"/>
    <dgm:cxn modelId="{ED61D9E5-4C04-4715-B4E7-BBC807F225ED}" type="presOf" srcId="{17A6D0EF-A246-4EFC-9A41-7F0C85BEE373}" destId="{350AF5FA-5467-4A2B-8E82-6ECE219928B9}" srcOrd="0" destOrd="2" presId="urn:microsoft.com/office/officeart/2005/8/layout/chevron2"/>
    <dgm:cxn modelId="{BCB843EB-1E4A-4858-BDAD-96DDA7BAAED0}" type="presOf" srcId="{7F59B0EF-B3E3-459A-B5E4-EA5244CFBD34}" destId="{C2679D77-2AF0-4747-A6AC-48EFDB50843F}" srcOrd="0" destOrd="1" presId="urn:microsoft.com/office/officeart/2005/8/layout/chevron2"/>
    <dgm:cxn modelId="{62C51FEC-16DE-48E5-BBB2-CB5E0502C3F0}" type="presOf" srcId="{31665A62-238E-425A-8C7F-6A9A06870350}" destId="{EB4A1733-F47E-456D-82E3-CD11A7CA6CFE}" srcOrd="0" destOrd="1" presId="urn:microsoft.com/office/officeart/2005/8/layout/chevron2"/>
    <dgm:cxn modelId="{BBE0D0F0-BB13-42C5-959E-4AAE139D9B47}" srcId="{397DB664-11CE-4739-BE4B-FC74F9F886FB}" destId="{312611CE-F745-4693-A2A0-7FB1A774F055}" srcOrd="0" destOrd="0" parTransId="{9EF21530-7C84-4E5F-AC4C-ABCA6128CF7A}" sibTransId="{B9C46214-4C41-44B9-9F64-A379D0D5C41B}"/>
    <dgm:cxn modelId="{A10BBEFE-D142-4B0A-83E7-63CF4D5213FF}" srcId="{7F7F4999-0661-47AD-B8D6-CEF6C05D2557}" destId="{174384B8-86C5-4074-89C8-25101EE8579C}" srcOrd="0" destOrd="0" parTransId="{B153884D-BFA8-4857-829D-0084CC5D6D73}" sibTransId="{47D7D3CE-80DE-49D9-AE97-5929971BDBBD}"/>
    <dgm:cxn modelId="{3EDEE7FF-68BC-4F5E-B1BF-D1D3A451422A}" srcId="{8C085F67-A081-4A05-96CA-DD97C2CA070C}" destId="{1104A6E5-BCCE-43AA-B384-D9BAA0910160}" srcOrd="2" destOrd="0" parTransId="{E9A284B6-3092-4476-80E0-E4EB37D7DDD2}" sibTransId="{F8F79565-45FC-45D4-9303-A610DF3EBD54}"/>
    <dgm:cxn modelId="{B531E9D6-92DD-48B4-BB9F-7E1911B02504}" type="presParOf" srcId="{E019D5C5-5015-47BF-BD0A-40A7F15E50A3}" destId="{DDBAD849-626E-4651-8ADD-AC4D0C386FC5}" srcOrd="0" destOrd="0" presId="urn:microsoft.com/office/officeart/2005/8/layout/chevron2"/>
    <dgm:cxn modelId="{5020E3F1-EC53-4155-AE60-86AE00CB464A}" type="presParOf" srcId="{DDBAD849-626E-4651-8ADD-AC4D0C386FC5}" destId="{1A7FEA82-03D0-4BDD-BD53-318E255221EF}" srcOrd="0" destOrd="0" presId="urn:microsoft.com/office/officeart/2005/8/layout/chevron2"/>
    <dgm:cxn modelId="{EE884E65-96EF-49A8-88E6-1EFC4F8C3CEA}" type="presParOf" srcId="{DDBAD849-626E-4651-8ADD-AC4D0C386FC5}" destId="{9140C68C-FB9D-491E-BC85-DE0AEAF33AFA}" srcOrd="1" destOrd="0" presId="urn:microsoft.com/office/officeart/2005/8/layout/chevron2"/>
    <dgm:cxn modelId="{4CD8BD5D-B299-4473-9F5D-E56BC3A61B3B}" type="presParOf" srcId="{E019D5C5-5015-47BF-BD0A-40A7F15E50A3}" destId="{D10CEAF3-E4C0-46E8-B022-3D8FD28CC464}" srcOrd="1" destOrd="0" presId="urn:microsoft.com/office/officeart/2005/8/layout/chevron2"/>
    <dgm:cxn modelId="{91083EAB-BD58-499E-BD66-3F4C3022BDAD}" type="presParOf" srcId="{E019D5C5-5015-47BF-BD0A-40A7F15E50A3}" destId="{C563A4F6-FB92-4310-A311-70EFC562215D}" srcOrd="2" destOrd="0" presId="urn:microsoft.com/office/officeart/2005/8/layout/chevron2"/>
    <dgm:cxn modelId="{AE3E77CF-3EE1-4FED-B8A2-AAFE83B310A1}" type="presParOf" srcId="{C563A4F6-FB92-4310-A311-70EFC562215D}" destId="{C4EFA82D-7489-4F8C-9E31-30529302D724}" srcOrd="0" destOrd="0" presId="urn:microsoft.com/office/officeart/2005/8/layout/chevron2"/>
    <dgm:cxn modelId="{A8ACAA05-A646-4DAB-86CE-0462C4A434D7}" type="presParOf" srcId="{C563A4F6-FB92-4310-A311-70EFC562215D}" destId="{6535870C-6553-4393-89DB-CC845FA27BC0}" srcOrd="1" destOrd="0" presId="urn:microsoft.com/office/officeart/2005/8/layout/chevron2"/>
    <dgm:cxn modelId="{3F0BC8F8-3B72-49C1-AA29-930FFD29D49F}" type="presParOf" srcId="{E019D5C5-5015-47BF-BD0A-40A7F15E50A3}" destId="{7CADF725-4CA7-47E7-9909-62A30E22FD55}" srcOrd="3" destOrd="0" presId="urn:microsoft.com/office/officeart/2005/8/layout/chevron2"/>
    <dgm:cxn modelId="{A4DEE662-C17C-4D05-B674-9EBD404AE000}" type="presParOf" srcId="{E019D5C5-5015-47BF-BD0A-40A7F15E50A3}" destId="{B72FFF9F-2FE6-4E1F-807D-2FA60BC04AF9}" srcOrd="4" destOrd="0" presId="urn:microsoft.com/office/officeart/2005/8/layout/chevron2"/>
    <dgm:cxn modelId="{72E2DA50-0B06-446F-95F6-91EE63F02617}" type="presParOf" srcId="{B72FFF9F-2FE6-4E1F-807D-2FA60BC04AF9}" destId="{D8D4EB4B-5BD9-4B12-AA13-66BA6BC8556C}" srcOrd="0" destOrd="0" presId="urn:microsoft.com/office/officeart/2005/8/layout/chevron2"/>
    <dgm:cxn modelId="{0C57B9D4-E734-434F-A1FA-E13CC08AA3CA}" type="presParOf" srcId="{B72FFF9F-2FE6-4E1F-807D-2FA60BC04AF9}" destId="{350AF5FA-5467-4A2B-8E82-6ECE219928B9}" srcOrd="1" destOrd="0" presId="urn:microsoft.com/office/officeart/2005/8/layout/chevron2"/>
    <dgm:cxn modelId="{A511E560-7DE5-49E1-BDDC-8134004212AE}" type="presParOf" srcId="{E019D5C5-5015-47BF-BD0A-40A7F15E50A3}" destId="{21015A01-C835-4E0D-BE0A-08FDDE734530}" srcOrd="5" destOrd="0" presId="urn:microsoft.com/office/officeart/2005/8/layout/chevron2"/>
    <dgm:cxn modelId="{6519B273-F3EE-45B0-A1FD-7F8D380EF60E}" type="presParOf" srcId="{E019D5C5-5015-47BF-BD0A-40A7F15E50A3}" destId="{E9071F4F-8D7C-4366-84E1-DBADC2CBDD90}" srcOrd="6" destOrd="0" presId="urn:microsoft.com/office/officeart/2005/8/layout/chevron2"/>
    <dgm:cxn modelId="{3BA03431-F51C-4282-903E-0A356BFB5F7F}" type="presParOf" srcId="{E9071F4F-8D7C-4366-84E1-DBADC2CBDD90}" destId="{FEB1EEB7-3781-47D9-AB84-48515941286E}" srcOrd="0" destOrd="0" presId="urn:microsoft.com/office/officeart/2005/8/layout/chevron2"/>
    <dgm:cxn modelId="{BEE3825A-1C53-44D8-97C6-9B6969B78AF4}" type="presParOf" srcId="{E9071F4F-8D7C-4366-84E1-DBADC2CBDD90}" destId="{EB4A1733-F47E-456D-82E3-CD11A7CA6CFE}" srcOrd="1" destOrd="0" presId="urn:microsoft.com/office/officeart/2005/8/layout/chevron2"/>
    <dgm:cxn modelId="{72AF1A60-3518-4717-BC57-8970E005E174}" type="presParOf" srcId="{E019D5C5-5015-47BF-BD0A-40A7F15E50A3}" destId="{FC034CAD-5A56-433D-83C7-E2A434BFB1AD}" srcOrd="7" destOrd="0" presId="urn:microsoft.com/office/officeart/2005/8/layout/chevron2"/>
    <dgm:cxn modelId="{6479C308-CE27-4349-A4EE-39B4A3FC78C5}" type="presParOf" srcId="{E019D5C5-5015-47BF-BD0A-40A7F15E50A3}" destId="{6E2FF3CA-A3A3-4E1F-B8CB-0A3264B27CE8}" srcOrd="8" destOrd="0" presId="urn:microsoft.com/office/officeart/2005/8/layout/chevron2"/>
    <dgm:cxn modelId="{C0104269-B0D7-4E94-9F9F-170300F34817}" type="presParOf" srcId="{6E2FF3CA-A3A3-4E1F-B8CB-0A3264B27CE8}" destId="{988FE511-94E0-4C9E-9574-E9C58A0D2E1D}" srcOrd="0" destOrd="0" presId="urn:microsoft.com/office/officeart/2005/8/layout/chevron2"/>
    <dgm:cxn modelId="{C6274775-1659-40B9-95E3-20A8B14FD86C}" type="presParOf" srcId="{6E2FF3CA-A3A3-4E1F-B8CB-0A3264B27CE8}" destId="{19BEA9B9-2D2B-4E82-9262-1DFCAB3F678D}" srcOrd="1" destOrd="0" presId="urn:microsoft.com/office/officeart/2005/8/layout/chevron2"/>
    <dgm:cxn modelId="{D065DB35-58DA-4AB6-B9BF-F7FAE43CDEBE}" type="presParOf" srcId="{E019D5C5-5015-47BF-BD0A-40A7F15E50A3}" destId="{6C2160F5-A876-40DA-AE51-C32AEA638F98}" srcOrd="9" destOrd="0" presId="urn:microsoft.com/office/officeart/2005/8/layout/chevron2"/>
    <dgm:cxn modelId="{BC5FF954-92DB-4754-9160-F8A3A4DA8E87}" type="presParOf" srcId="{E019D5C5-5015-47BF-BD0A-40A7F15E50A3}" destId="{5DFE4262-C029-4FFA-9618-13D18FD4B938}" srcOrd="10" destOrd="0" presId="urn:microsoft.com/office/officeart/2005/8/layout/chevron2"/>
    <dgm:cxn modelId="{957167CC-8CBB-4848-B2DE-F594BEAFC407}" type="presParOf" srcId="{5DFE4262-C029-4FFA-9618-13D18FD4B938}" destId="{59B4F60D-026A-483F-84AF-6A1C3DAF6A86}" srcOrd="0" destOrd="0" presId="urn:microsoft.com/office/officeart/2005/8/layout/chevron2"/>
    <dgm:cxn modelId="{1CFAC36C-AD3E-4061-B7F7-86FEAE975088}" type="presParOf" srcId="{5DFE4262-C029-4FFA-9618-13D18FD4B938}" destId="{97458F7F-3750-4446-903C-D8610D138405}" srcOrd="1" destOrd="0" presId="urn:microsoft.com/office/officeart/2005/8/layout/chevron2"/>
    <dgm:cxn modelId="{E9055657-DFF1-4149-8ACE-4AF731B68F42}" type="presParOf" srcId="{E019D5C5-5015-47BF-BD0A-40A7F15E50A3}" destId="{9547DF6E-B097-4BBB-B1D4-768F4984BFB4}" srcOrd="11" destOrd="0" presId="urn:microsoft.com/office/officeart/2005/8/layout/chevron2"/>
    <dgm:cxn modelId="{A9E19CC7-B924-4F82-97E6-087504CFFE47}" type="presParOf" srcId="{E019D5C5-5015-47BF-BD0A-40A7F15E50A3}" destId="{27FCF22A-3F31-46F1-96AD-9372EBBC3E28}" srcOrd="12" destOrd="0" presId="urn:microsoft.com/office/officeart/2005/8/layout/chevron2"/>
    <dgm:cxn modelId="{37E7C0D4-2CBC-400A-918E-F93F4D10E81D}" type="presParOf" srcId="{27FCF22A-3F31-46F1-96AD-9372EBBC3E28}" destId="{F5C9BB1B-28E9-47C1-B44C-07EDC0760FD6}" srcOrd="0" destOrd="0" presId="urn:microsoft.com/office/officeart/2005/8/layout/chevron2"/>
    <dgm:cxn modelId="{D246529F-C0C1-447B-9BF0-F1B2314DC2CC}" type="presParOf" srcId="{27FCF22A-3F31-46F1-96AD-9372EBBC3E28}" destId="{C2679D77-2AF0-4747-A6AC-48EFDB50843F}" srcOrd="1" destOrd="0" presId="urn:microsoft.com/office/officeart/2005/8/layout/chevron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7FEA82-03D0-4BDD-BD53-318E255221EF}">
      <dsp:nvSpPr>
        <dsp:cNvPr id="0" name=""/>
        <dsp:cNvSpPr/>
      </dsp:nvSpPr>
      <dsp:spPr>
        <a:xfrm rot="5400000">
          <a:off x="-165553" y="170374"/>
          <a:ext cx="1103692" cy="772584"/>
        </a:xfrm>
        <a:prstGeom prst="chevron">
          <a:avLst/>
        </a:prstGeom>
        <a:solidFill>
          <a:schemeClr val="accent1"/>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1 Information Gathering for Route Selection</a:t>
          </a:r>
        </a:p>
      </dsp:txBody>
      <dsp:txXfrm rot="-5400000">
        <a:off x="1" y="391112"/>
        <a:ext cx="772584" cy="331108"/>
      </dsp:txXfrm>
    </dsp:sp>
    <dsp:sp modelId="{9140C68C-FB9D-491E-BC85-DE0AEAF33AFA}">
      <dsp:nvSpPr>
        <dsp:cNvPr id="0" name=""/>
        <dsp:cNvSpPr/>
      </dsp:nvSpPr>
      <dsp:spPr>
        <a:xfrm rot="5400000">
          <a:off x="2894617" y="-2117211"/>
          <a:ext cx="717400" cy="4961465"/>
        </a:xfrm>
        <a:prstGeom prst="round2SameRect">
          <a:avLst/>
        </a:prstGeom>
        <a:solidFill>
          <a:schemeClr val="lt1">
            <a:alpha val="90000"/>
            <a:hueOff val="0"/>
            <a:satOff val="0"/>
            <a:lumOff val="0"/>
            <a:alphaOff val="0"/>
          </a:schemeClr>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APA to identify key stakeholders who can provide information of relevance to the route selection process</a:t>
          </a:r>
        </a:p>
        <a:p>
          <a:pPr marL="57150" lvl="1" indent="-57150" algn="l" defTabSz="355600">
            <a:lnSpc>
              <a:spcPct val="90000"/>
            </a:lnSpc>
            <a:spcBef>
              <a:spcPct val="0"/>
            </a:spcBef>
            <a:spcAft>
              <a:spcPct val="15000"/>
            </a:spcAft>
            <a:buChar char="•"/>
          </a:pPr>
          <a:r>
            <a:rPr lang="en-US" sz="800" kern="1200"/>
            <a:t>Meeting with key stakeholders to discuss any potential issues or concerns with the proposed Area of Interest</a:t>
          </a:r>
        </a:p>
        <a:p>
          <a:pPr marL="57150" lvl="1" indent="-57150" algn="l" defTabSz="355600">
            <a:lnSpc>
              <a:spcPct val="90000"/>
            </a:lnSpc>
            <a:spcBef>
              <a:spcPct val="0"/>
            </a:spcBef>
            <a:spcAft>
              <a:spcPct val="15000"/>
            </a:spcAft>
            <a:buChar char="•"/>
          </a:pPr>
          <a:r>
            <a:rPr lang="en-US" sz="800" kern="1200"/>
            <a:t>Provision of data and other information to inform route selection and risk assessment</a:t>
          </a:r>
        </a:p>
      </dsp:txBody>
      <dsp:txXfrm rot="-5400000">
        <a:off x="772585" y="39842"/>
        <a:ext cx="4926444" cy="647358"/>
      </dsp:txXfrm>
    </dsp:sp>
    <dsp:sp modelId="{C4EFA82D-7489-4F8C-9E31-30529302D724}">
      <dsp:nvSpPr>
        <dsp:cNvPr id="0" name=""/>
        <dsp:cNvSpPr/>
      </dsp:nvSpPr>
      <dsp:spPr>
        <a:xfrm rot="5400000">
          <a:off x="-165553" y="1188143"/>
          <a:ext cx="1103692" cy="772584"/>
        </a:xfrm>
        <a:prstGeom prst="chevron">
          <a:avLst/>
        </a:prstGeom>
        <a:solidFill>
          <a:srgbClr val="33578F"/>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2 Initial Stakeholder Engagement</a:t>
          </a:r>
        </a:p>
      </dsp:txBody>
      <dsp:txXfrm rot="-5400000">
        <a:off x="1" y="1408881"/>
        <a:ext cx="772584" cy="331108"/>
      </dsp:txXfrm>
    </dsp:sp>
    <dsp:sp modelId="{6535870C-6553-4393-89DB-CC845FA27BC0}">
      <dsp:nvSpPr>
        <dsp:cNvPr id="0" name=""/>
        <dsp:cNvSpPr/>
      </dsp:nvSpPr>
      <dsp:spPr>
        <a:xfrm rot="5400000">
          <a:off x="2894617" y="-1099442"/>
          <a:ext cx="717400" cy="4961465"/>
        </a:xfrm>
        <a:prstGeom prst="round2SameRect">
          <a:avLst/>
        </a:prstGeom>
        <a:solidFill>
          <a:schemeClr val="lt1">
            <a:alpha val="90000"/>
            <a:hueOff val="0"/>
            <a:satOff val="0"/>
            <a:lumOff val="0"/>
            <a:alphaOff val="0"/>
          </a:schemeClr>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Establishment of landholder database (e.g. title searches, landholder addresses, etc.) and engagement of affected landholders - </a:t>
          </a:r>
          <a:r>
            <a:rPr lang="en-AU" sz="800" kern="1200"/>
            <a:t>consistent with Consultation Plan approved under Pipelines Act</a:t>
          </a:r>
          <a:endParaRPr lang="en-US" sz="800" kern="1200"/>
        </a:p>
        <a:p>
          <a:pPr marL="57150" lvl="1" indent="-57150" algn="l" defTabSz="355600">
            <a:lnSpc>
              <a:spcPct val="90000"/>
            </a:lnSpc>
            <a:spcBef>
              <a:spcPct val="0"/>
            </a:spcBef>
            <a:spcAft>
              <a:spcPct val="15000"/>
            </a:spcAft>
            <a:buChar char="•"/>
          </a:pPr>
          <a:r>
            <a:rPr lang="en-US" sz="800" kern="1200"/>
            <a:t>Meetings with regulatory agencies and other related stakeholders to present preferred route</a:t>
          </a:r>
        </a:p>
        <a:p>
          <a:pPr marL="57150" lvl="1" indent="-57150" algn="l" defTabSz="355600">
            <a:lnSpc>
              <a:spcPct val="90000"/>
            </a:lnSpc>
            <a:spcBef>
              <a:spcPct val="0"/>
            </a:spcBef>
            <a:spcAft>
              <a:spcPct val="15000"/>
            </a:spcAft>
            <a:buChar char="•"/>
          </a:pPr>
          <a:r>
            <a:rPr lang="en-US" sz="800" kern="1200"/>
            <a:t>Provision of project-related infomation, discussion on Project and collection of information to populate the landholder database</a:t>
          </a:r>
        </a:p>
      </dsp:txBody>
      <dsp:txXfrm rot="-5400000">
        <a:off x="772585" y="1057611"/>
        <a:ext cx="4926444" cy="647358"/>
      </dsp:txXfrm>
    </dsp:sp>
    <dsp:sp modelId="{D8D4EB4B-5BD9-4B12-AA13-66BA6BC8556C}">
      <dsp:nvSpPr>
        <dsp:cNvPr id="0" name=""/>
        <dsp:cNvSpPr/>
      </dsp:nvSpPr>
      <dsp:spPr>
        <a:xfrm rot="5400000">
          <a:off x="-165553" y="2205913"/>
          <a:ext cx="1103692" cy="772584"/>
        </a:xfrm>
        <a:prstGeom prst="chevron">
          <a:avLst/>
        </a:prstGeom>
        <a:solidFill>
          <a:srgbClr val="49699C"/>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3 Obtaining Land Access for Surveys</a:t>
          </a:r>
        </a:p>
      </dsp:txBody>
      <dsp:txXfrm rot="-5400000">
        <a:off x="1" y="2426651"/>
        <a:ext cx="772584" cy="331108"/>
      </dsp:txXfrm>
    </dsp:sp>
    <dsp:sp modelId="{350AF5FA-5467-4A2B-8E82-6ECE219928B9}">
      <dsp:nvSpPr>
        <dsp:cNvPr id="0" name=""/>
        <dsp:cNvSpPr/>
      </dsp:nvSpPr>
      <dsp:spPr>
        <a:xfrm rot="5400000">
          <a:off x="2894617" y="-81673"/>
          <a:ext cx="717400" cy="4961465"/>
        </a:xfrm>
        <a:prstGeom prst="round2SameRect">
          <a:avLst/>
        </a:prstGeom>
        <a:solidFill>
          <a:schemeClr val="lt1">
            <a:alpha val="90000"/>
            <a:hueOff val="0"/>
            <a:satOff val="0"/>
            <a:lumOff val="0"/>
            <a:alphaOff val="0"/>
          </a:schemeClr>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APA to seek agreement for land access from affected private and public landholders for studies (e.g. geotechnical, environmental and cultural heritage)</a:t>
          </a:r>
        </a:p>
        <a:p>
          <a:pPr marL="57150" lvl="1" indent="-57150" algn="l" defTabSz="355600">
            <a:lnSpc>
              <a:spcPct val="90000"/>
            </a:lnSpc>
            <a:spcBef>
              <a:spcPct val="0"/>
            </a:spcBef>
            <a:spcAft>
              <a:spcPct val="15000"/>
            </a:spcAft>
            <a:buChar char="•"/>
          </a:pPr>
          <a:r>
            <a:rPr lang="en-US" sz="800" kern="1200"/>
            <a:t>Clarification of any specific conditions or constraints in relation to land access</a:t>
          </a:r>
        </a:p>
        <a:p>
          <a:pPr marL="57150" lvl="1" indent="-57150" algn="l" defTabSz="355600">
            <a:lnSpc>
              <a:spcPct val="90000"/>
            </a:lnSpc>
            <a:spcBef>
              <a:spcPct val="0"/>
            </a:spcBef>
            <a:spcAft>
              <a:spcPct val="15000"/>
            </a:spcAft>
            <a:buChar char="•"/>
          </a:pPr>
          <a:r>
            <a:rPr lang="en-US" sz="800" kern="1200"/>
            <a:t>APA to issue Notice of Intention to Enter Land for Survey (as required by the Pipelines Act)</a:t>
          </a:r>
        </a:p>
        <a:p>
          <a:pPr marL="57150" lvl="1" indent="-57150" algn="l" defTabSz="355600">
            <a:lnSpc>
              <a:spcPct val="90000"/>
            </a:lnSpc>
            <a:spcBef>
              <a:spcPct val="0"/>
            </a:spcBef>
            <a:spcAft>
              <a:spcPct val="15000"/>
            </a:spcAft>
            <a:buChar char="•"/>
          </a:pPr>
          <a:r>
            <a:rPr lang="en-US" sz="800" kern="1200"/>
            <a:t>Undertake required surveys in accordance with any landholder agreements</a:t>
          </a:r>
        </a:p>
      </dsp:txBody>
      <dsp:txXfrm rot="-5400000">
        <a:off x="772585" y="2075380"/>
        <a:ext cx="4926444" cy="647358"/>
      </dsp:txXfrm>
    </dsp:sp>
    <dsp:sp modelId="{FEB1EEB7-3781-47D9-AB84-48515941286E}">
      <dsp:nvSpPr>
        <dsp:cNvPr id="0" name=""/>
        <dsp:cNvSpPr/>
      </dsp:nvSpPr>
      <dsp:spPr>
        <a:xfrm rot="5400000">
          <a:off x="-165553" y="3223682"/>
          <a:ext cx="1103692" cy="772584"/>
        </a:xfrm>
        <a:prstGeom prst="chevron">
          <a:avLst/>
        </a:prstGeom>
        <a:solidFill>
          <a:srgbClr val="607CA8"/>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4 Agreement on Pipeline Corridor</a:t>
          </a:r>
        </a:p>
      </dsp:txBody>
      <dsp:txXfrm rot="-5400000">
        <a:off x="1" y="3444420"/>
        <a:ext cx="772584" cy="331108"/>
      </dsp:txXfrm>
    </dsp:sp>
    <dsp:sp modelId="{EB4A1733-F47E-456D-82E3-CD11A7CA6CFE}">
      <dsp:nvSpPr>
        <dsp:cNvPr id="0" name=""/>
        <dsp:cNvSpPr/>
      </dsp:nvSpPr>
      <dsp:spPr>
        <a:xfrm rot="5400000">
          <a:off x="2894617" y="936096"/>
          <a:ext cx="717400" cy="4961465"/>
        </a:xfrm>
        <a:prstGeom prst="round2SameRect">
          <a:avLst/>
        </a:prstGeom>
        <a:solidFill>
          <a:schemeClr val="lt1">
            <a:alpha val="90000"/>
            <a:hueOff val="0"/>
            <a:satOff val="0"/>
            <a:lumOff val="0"/>
            <a:alphaOff val="0"/>
          </a:schemeClr>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APA to issue Notice of Pipeline Corridor (as required by the Pipelines Act) to affected landholders</a:t>
          </a:r>
        </a:p>
        <a:p>
          <a:pPr marL="57150" lvl="1" indent="-57150" algn="l" defTabSz="355600">
            <a:lnSpc>
              <a:spcPct val="90000"/>
            </a:lnSpc>
            <a:spcBef>
              <a:spcPct val="0"/>
            </a:spcBef>
            <a:spcAft>
              <a:spcPct val="15000"/>
            </a:spcAft>
            <a:buChar char="•"/>
          </a:pPr>
          <a:r>
            <a:rPr lang="en-US" sz="800" kern="1200"/>
            <a:t>APA to consult with affected landholders to negotiate an easement to allow for construction and operation of the pipeline</a:t>
          </a:r>
        </a:p>
        <a:p>
          <a:pPr marL="57150" lvl="1" indent="-57150" algn="l" defTabSz="355600">
            <a:lnSpc>
              <a:spcPct val="90000"/>
            </a:lnSpc>
            <a:spcBef>
              <a:spcPct val="0"/>
            </a:spcBef>
            <a:spcAft>
              <a:spcPct val="15000"/>
            </a:spcAft>
            <a:buChar char="•"/>
          </a:pPr>
          <a:r>
            <a:rPr lang="en-US" sz="800" kern="1200"/>
            <a:t>Easement negotiations likely to include discussions relating to pipeline route, construction access arrangements, compensation, rehabilitation of construction disturbance and ongoing access requirements</a:t>
          </a:r>
        </a:p>
      </dsp:txBody>
      <dsp:txXfrm rot="-5400000">
        <a:off x="772585" y="3093150"/>
        <a:ext cx="4926444" cy="647358"/>
      </dsp:txXfrm>
    </dsp:sp>
    <dsp:sp modelId="{988FE511-94E0-4C9E-9574-E9C58A0D2E1D}">
      <dsp:nvSpPr>
        <dsp:cNvPr id="0" name=""/>
        <dsp:cNvSpPr/>
      </dsp:nvSpPr>
      <dsp:spPr>
        <a:xfrm rot="5400000">
          <a:off x="-165553" y="4241451"/>
          <a:ext cx="1103692" cy="772584"/>
        </a:xfrm>
        <a:prstGeom prst="chevron">
          <a:avLst/>
        </a:prstGeom>
        <a:solidFill>
          <a:srgbClr val="FFFF00"/>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chemeClr val="accent1"/>
              </a:solidFill>
            </a:rPr>
            <a:t>5 Seeking Regulatory Approvals</a:t>
          </a:r>
        </a:p>
      </dsp:txBody>
      <dsp:txXfrm rot="-5400000">
        <a:off x="1" y="4462189"/>
        <a:ext cx="772584" cy="331108"/>
      </dsp:txXfrm>
    </dsp:sp>
    <dsp:sp modelId="{19BEA9B9-2D2B-4E82-9262-1DFCAB3F678D}">
      <dsp:nvSpPr>
        <dsp:cNvPr id="0" name=""/>
        <dsp:cNvSpPr/>
      </dsp:nvSpPr>
      <dsp:spPr>
        <a:xfrm rot="5400000">
          <a:off x="2894617" y="1953865"/>
          <a:ext cx="717400" cy="4961465"/>
        </a:xfrm>
        <a:prstGeom prst="round2SameRect">
          <a:avLst/>
        </a:prstGeom>
        <a:solidFill>
          <a:schemeClr val="lt1">
            <a:alpha val="90000"/>
            <a:hueOff val="0"/>
            <a:satOff val="0"/>
            <a:lumOff val="0"/>
            <a:alphaOff val="0"/>
          </a:schemeClr>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APA undertake studies, prepare and exhibit the EES; and respond to requirements of EPBC Act; and seeks Cultural Heritage Management Plan approval. </a:t>
          </a:r>
        </a:p>
        <a:p>
          <a:pPr marL="57150" lvl="1" indent="-57150" algn="l" defTabSz="355600">
            <a:lnSpc>
              <a:spcPct val="90000"/>
            </a:lnSpc>
            <a:spcBef>
              <a:spcPct val="0"/>
            </a:spcBef>
            <a:spcAft>
              <a:spcPct val="15000"/>
            </a:spcAft>
            <a:buChar char="•"/>
          </a:pPr>
          <a:r>
            <a:rPr lang="en-US" sz="800" kern="1200"/>
            <a:t>APA undertakes the Pipeline Licence application process</a:t>
          </a:r>
        </a:p>
        <a:p>
          <a:pPr marL="57150" lvl="1" indent="-57150" algn="l" defTabSz="355600">
            <a:lnSpc>
              <a:spcPct val="90000"/>
            </a:lnSpc>
            <a:spcBef>
              <a:spcPct val="0"/>
            </a:spcBef>
            <a:spcAft>
              <a:spcPct val="15000"/>
            </a:spcAft>
            <a:buChar char="•"/>
          </a:pPr>
          <a:r>
            <a:rPr lang="en-US" sz="800" kern="1200"/>
            <a:t>APA seeks Pipeline Licence, regulatory approval of Safety Management Plan and Environmental Management Plan and completes any other secondary approvals</a:t>
          </a:r>
        </a:p>
      </dsp:txBody>
      <dsp:txXfrm rot="-5400000">
        <a:off x="772585" y="4110919"/>
        <a:ext cx="4926444" cy="647358"/>
      </dsp:txXfrm>
    </dsp:sp>
    <dsp:sp modelId="{59B4F60D-026A-483F-84AF-6A1C3DAF6A86}">
      <dsp:nvSpPr>
        <dsp:cNvPr id="0" name=""/>
        <dsp:cNvSpPr/>
      </dsp:nvSpPr>
      <dsp:spPr>
        <a:xfrm rot="5400000">
          <a:off x="-165553" y="5259221"/>
          <a:ext cx="1103692" cy="772584"/>
        </a:xfrm>
        <a:prstGeom prst="chevron">
          <a:avLst/>
        </a:prstGeom>
        <a:solidFill>
          <a:srgbClr val="778FB5"/>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6 Pipeline Construction</a:t>
          </a:r>
        </a:p>
      </dsp:txBody>
      <dsp:txXfrm rot="-5400000">
        <a:off x="1" y="5479959"/>
        <a:ext cx="772584" cy="331108"/>
      </dsp:txXfrm>
    </dsp:sp>
    <dsp:sp modelId="{97458F7F-3750-4446-903C-D8610D138405}">
      <dsp:nvSpPr>
        <dsp:cNvPr id="0" name=""/>
        <dsp:cNvSpPr/>
      </dsp:nvSpPr>
      <dsp:spPr>
        <a:xfrm rot="5400000">
          <a:off x="2894617" y="2971634"/>
          <a:ext cx="717400" cy="4961465"/>
        </a:xfrm>
        <a:prstGeom prst="round2SameRect">
          <a:avLst/>
        </a:prstGeom>
        <a:solidFill>
          <a:schemeClr val="lt1">
            <a:alpha val="90000"/>
            <a:hueOff val="0"/>
            <a:satOff val="0"/>
            <a:lumOff val="0"/>
            <a:alphaOff val="0"/>
          </a:schemeClr>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APA will engage a suitably experienced construction contractor to complete the works</a:t>
          </a:r>
        </a:p>
        <a:p>
          <a:pPr marL="57150" lvl="1" indent="-57150" algn="l" defTabSz="355600">
            <a:lnSpc>
              <a:spcPct val="90000"/>
            </a:lnSpc>
            <a:spcBef>
              <a:spcPct val="0"/>
            </a:spcBef>
            <a:spcAft>
              <a:spcPct val="15000"/>
            </a:spcAft>
            <a:buChar char="•"/>
          </a:pPr>
          <a:r>
            <a:rPr lang="en-US" sz="800" kern="1200"/>
            <a:t>Construction will commence once APA has received all regulatory approvals and has obtained easements with landholders</a:t>
          </a:r>
        </a:p>
        <a:p>
          <a:pPr marL="57150" lvl="1" indent="-57150" algn="l" defTabSz="355600">
            <a:lnSpc>
              <a:spcPct val="90000"/>
            </a:lnSpc>
            <a:spcBef>
              <a:spcPct val="0"/>
            </a:spcBef>
            <a:spcAft>
              <a:spcPct val="15000"/>
            </a:spcAft>
            <a:buChar char="•"/>
          </a:pPr>
          <a:r>
            <a:rPr lang="en-US" sz="800" kern="1200"/>
            <a:t>Following construction the pipeline will be tested, commissioned and the disturbance area will be rehabilitated</a:t>
          </a:r>
        </a:p>
      </dsp:txBody>
      <dsp:txXfrm rot="-5400000">
        <a:off x="772585" y="5128688"/>
        <a:ext cx="4926444" cy="647358"/>
      </dsp:txXfrm>
    </dsp:sp>
    <dsp:sp modelId="{F5C9BB1B-28E9-47C1-B44C-07EDC0760FD6}">
      <dsp:nvSpPr>
        <dsp:cNvPr id="0" name=""/>
        <dsp:cNvSpPr/>
      </dsp:nvSpPr>
      <dsp:spPr>
        <a:xfrm rot="5400000">
          <a:off x="-165553" y="6276990"/>
          <a:ext cx="1103692" cy="772584"/>
        </a:xfrm>
        <a:prstGeom prst="chevron">
          <a:avLst/>
        </a:prstGeom>
        <a:solidFill>
          <a:srgbClr val="8EA2C1"/>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7 Pipeline Operation</a:t>
          </a:r>
        </a:p>
      </dsp:txBody>
      <dsp:txXfrm rot="-5400000">
        <a:off x="1" y="6497728"/>
        <a:ext cx="772584" cy="331108"/>
      </dsp:txXfrm>
    </dsp:sp>
    <dsp:sp modelId="{C2679D77-2AF0-4747-A6AC-48EFDB50843F}">
      <dsp:nvSpPr>
        <dsp:cNvPr id="0" name=""/>
        <dsp:cNvSpPr/>
      </dsp:nvSpPr>
      <dsp:spPr>
        <a:xfrm rot="5400000">
          <a:off x="2894617" y="3989404"/>
          <a:ext cx="717400" cy="4961465"/>
        </a:xfrm>
        <a:prstGeom prst="round2SameRect">
          <a:avLst/>
        </a:prstGeom>
        <a:solidFill>
          <a:schemeClr val="lt1">
            <a:alpha val="90000"/>
            <a:hueOff val="0"/>
            <a:satOff val="0"/>
            <a:lumOff val="0"/>
            <a:alphaOff val="0"/>
          </a:schemeClr>
        </a:solidFill>
        <a:ln w="25400" cap="flat" cmpd="sng" algn="ctr">
          <a:solidFill>
            <a:schemeClr val="accent1">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Following construction and rehabilitation, access requirements are only for infrequent and periodic inspections and maintenance (as required)</a:t>
          </a:r>
        </a:p>
        <a:p>
          <a:pPr marL="57150" lvl="1" indent="-57150" algn="l" defTabSz="355600">
            <a:lnSpc>
              <a:spcPct val="90000"/>
            </a:lnSpc>
            <a:spcBef>
              <a:spcPct val="0"/>
            </a:spcBef>
            <a:spcAft>
              <a:spcPct val="15000"/>
            </a:spcAft>
            <a:buChar char="•"/>
          </a:pPr>
          <a:r>
            <a:rPr lang="en-US" sz="800" kern="1200"/>
            <a:t>Anticipated operational period of the asset is likely to be in the order of 50 years</a:t>
          </a:r>
        </a:p>
        <a:p>
          <a:pPr marL="57150" lvl="1" indent="-57150" algn="l" defTabSz="355600">
            <a:lnSpc>
              <a:spcPct val="90000"/>
            </a:lnSpc>
            <a:spcBef>
              <a:spcPct val="0"/>
            </a:spcBef>
            <a:spcAft>
              <a:spcPct val="15000"/>
            </a:spcAft>
            <a:buChar char="•"/>
          </a:pPr>
          <a:r>
            <a:rPr lang="en-US" sz="800" kern="1200"/>
            <a:t>APA will be required to consult with the government and other stakeholders in the future regarding the decommissioning of the asset</a:t>
          </a:r>
        </a:p>
      </dsp:txBody>
      <dsp:txXfrm rot="-5400000">
        <a:off x="772585" y="6146458"/>
        <a:ext cx="4926444" cy="647358"/>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WORM Colours">
      <a:dk1>
        <a:sysClr val="windowText" lastClr="000000"/>
      </a:dk1>
      <a:lt1>
        <a:sysClr val="window" lastClr="FFFFFF"/>
      </a:lt1>
      <a:dk2>
        <a:srgbClr val="25282A"/>
      </a:dk2>
      <a:lt2>
        <a:srgbClr val="E7E6E6"/>
      </a:lt2>
      <a:accent1>
        <a:srgbClr val="1C4483"/>
      </a:accent1>
      <a:accent2>
        <a:srgbClr val="00A2E2"/>
      </a:accent2>
      <a:accent3>
        <a:srgbClr val="C8102E"/>
      </a:accent3>
      <a:accent4>
        <a:srgbClr val="00A67F"/>
      </a:accent4>
      <a:accent5>
        <a:srgbClr val="F36C42"/>
      </a:accent5>
      <a:accent6>
        <a:srgbClr val="845AA2"/>
      </a:accent6>
      <a:hlink>
        <a:srgbClr val="1C4483"/>
      </a:hlink>
      <a:folHlink>
        <a:srgbClr val="422D51"/>
      </a:folHlink>
    </a:clrScheme>
    <a:fontScheme name="WORM fonts">
      <a:majorFont>
        <a:latin typeface="Century Gothic"/>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56E766EE377C24084592FE49AF6C7E9" ma:contentTypeVersion="25" ma:contentTypeDescription="Create a new document." ma:contentTypeScope="" ma:versionID="f4ef1b8d5fb551d079405cd306b92e8e">
  <xsd:schema xmlns:xsd="http://www.w3.org/2001/XMLSchema" xmlns:xs="http://www.w3.org/2001/XMLSchema" xmlns:p="http://schemas.microsoft.com/office/2006/metadata/properties" xmlns:ns2="f3b51135-af86-4f3b-873f-8239ae52cc75" xmlns:ns3="b3d54d22-4690-4519-809a-10fa5c7eb8ca" targetNamespace="http://schemas.microsoft.com/office/2006/metadata/properties" ma:root="true" ma:fieldsID="d6c5a32ade5ba4de1bb9b46a18c35513" ns2:_="" ns3:_="">
    <xsd:import namespace="f3b51135-af86-4f3b-873f-8239ae52cc75"/>
    <xsd:import namespace="b3d54d22-4690-4519-809a-10fa5c7eb8ca"/>
    <xsd:element name="properties">
      <xsd:complexType>
        <xsd:sequence>
          <xsd:element name="documentManagement">
            <xsd:complexType>
              <xsd:all>
                <xsd:element ref="ns2:Property_x0020_Name" minOccurs="0"/>
                <xsd:element ref="ns2:Lot_x0020_on_x0020_Plan"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_Flow_SignoffStatu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b51135-af86-4f3b-873f-8239ae52cc75" elementFormDefault="qualified">
    <xsd:import namespace="http://schemas.microsoft.com/office/2006/documentManagement/types"/>
    <xsd:import namespace="http://schemas.microsoft.com/office/infopath/2007/PartnerControls"/>
    <xsd:element name="Property_x0020_Name" ma:index="4" nillable="true" ma:displayName="Property Owner Name" ma:internalName="Property_x0020_Name" ma:readOnly="false">
      <xsd:simpleType>
        <xsd:restriction base="dms:Text">
          <xsd:maxLength value="255"/>
        </xsd:restriction>
      </xsd:simpleType>
    </xsd:element>
    <xsd:element name="Lot_x0020_on_x0020_Plan" ma:index="5" nillable="true" ma:displayName="Lot on Plan" ma:internalName="Lot_x0020_on_x0020_Plan" ma:readOnly="fals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_Flow_SignoffStatus" ma:index="20" nillable="true" ma:displayName="Sign-off status" ma:internalName="Sign_x002d_off_x0020_status">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3d54d22-4690-4519-809a-10fa5c7eb8ca"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ot_x0020_on_x0020_Plan xmlns="f3b51135-af86-4f3b-873f-8239ae52cc75" xsi:nil="true"/>
    <Property_x0020_Name xmlns="f3b51135-af86-4f3b-873f-8239ae52cc75" xsi:nil="true"/>
    <_Flow_SignoffStatus xmlns="f3b51135-af86-4f3b-873f-8239ae52cc75" xsi:nil="true"/>
  </documentManagement>
</p:properties>
</file>

<file path=customXml/item5.xml><?xml version="1.0" encoding="utf-8"?>
<?mso-contentType ?>
<FormTemplates xmlns="http://schemas.microsoft.com/sharepoint/v3/contenttype/forms"/>
</file>

<file path=customXml/itemProps1.xml><?xml version="1.0" encoding="utf-8"?>
<ds:datastoreItem xmlns:ds="http://schemas.openxmlformats.org/officeDocument/2006/customXml" ds:itemID="{DBDDA045-7BCA-41A5-9D20-888C9C32AC1A}"/>
</file>

<file path=customXml/itemProps2.xml><?xml version="1.0" encoding="utf-8"?>
<ds:datastoreItem xmlns:ds="http://schemas.openxmlformats.org/officeDocument/2006/customXml" ds:itemID="{FB133F04-C8CC-4B40-AABA-200662E4068E}">
  <ds:schemaRefs>
    <ds:schemaRef ds:uri="http://schemas.openxmlformats.org/officeDocument/2006/bibliography"/>
  </ds:schemaRefs>
</ds:datastoreItem>
</file>

<file path=customXml/itemProps3.xml><?xml version="1.0" encoding="utf-8"?>
<ds:datastoreItem xmlns:ds="http://schemas.openxmlformats.org/officeDocument/2006/customXml" ds:itemID="{1A7C4C43-66DE-408F-8437-95A4CA3F4D22}">
  <ds:schemaRefs>
    <ds:schemaRef ds:uri="http://schemas.microsoft.com/sharepoint/v3/contenttype/forms"/>
  </ds:schemaRefs>
</ds:datastoreItem>
</file>

<file path=customXml/itemProps4.xml><?xml version="1.0" encoding="utf-8"?>
<ds:datastoreItem xmlns:ds="http://schemas.openxmlformats.org/officeDocument/2006/customXml" ds:itemID="{8B8406A9-E903-46E3-B98B-138B105353B4}">
  <ds:schemaRefs>
    <ds:schemaRef ds:uri="http://purl.org/dc/elements/1.1/"/>
    <ds:schemaRef ds:uri="b515edd4-7658-41ae-a9ea-36e04bfea53e"/>
    <ds:schemaRef ds:uri="http://schemas.microsoft.com/office/infopath/2007/PartnerControls"/>
    <ds:schemaRef ds:uri="c0053e3c-1697-4ac4-9a83-8ee3b582d76f"/>
    <ds:schemaRef ds:uri="http://purl.org/dc/terms/"/>
    <ds:schemaRef ds:uri="http://schemas.openxmlformats.org/package/2006/metadata/core-properties"/>
    <ds:schemaRef ds:uri="580b338a-2d14-434a-a3db-04eb9fbec824"/>
    <ds:schemaRef ds:uri="http://schemas.microsoft.com/office/2006/documentManagement/types"/>
    <ds:schemaRef ds:uri="http://schemas.microsoft.com/office/2006/metadata/properties"/>
    <ds:schemaRef ds:uri="http://www.w3.org/XML/1998/namespace"/>
    <ds:schemaRef ds:uri="http://purl.org/dc/dcmitype/"/>
  </ds:schemaRefs>
</ds:datastoreItem>
</file>

<file path=customXml/itemProps5.xml><?xml version="1.0" encoding="utf-8"?>
<ds:datastoreItem xmlns:ds="http://schemas.openxmlformats.org/officeDocument/2006/customXml" ds:itemID="{22848F60-6FB9-4E6F-A4A5-25B7AF48FDBE}"/>
</file>

<file path=docProps/app.xml><?xml version="1.0" encoding="utf-8"?>
<Properties xmlns="http://schemas.openxmlformats.org/officeDocument/2006/extended-properties" xmlns:vt="http://schemas.openxmlformats.org/officeDocument/2006/docPropsVTypes">
  <Template>Normal.dotm</Template>
  <TotalTime>386</TotalTime>
  <Pages>48</Pages>
  <Words>14262</Words>
  <Characters>82208</Characters>
  <Application>Microsoft Office Word</Application>
  <DocSecurity>0</DocSecurity>
  <Lines>1383</Lines>
  <Paragraphs>468</Paragraphs>
  <ScaleCrop>false</ScaleCrop>
  <HeadingPairs>
    <vt:vector size="2" baseType="variant">
      <vt:variant>
        <vt:lpstr>Title</vt:lpstr>
      </vt:variant>
      <vt:variant>
        <vt:i4>1</vt:i4>
      </vt:variant>
    </vt:vector>
  </HeadingPairs>
  <TitlesOfParts>
    <vt:vector size="1" baseType="lpstr">
      <vt:lpstr>APA WORM_Executive summary.docx</vt:lpstr>
    </vt:vector>
  </TitlesOfParts>
  <Company/>
  <LinksUpToDate>false</LinksUpToDate>
  <CharactersWithSpaces>96219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APA WORM_Executive summary.docx</dc:title>
  <dc:subject/>
  <dc:creator>APA VTS (Operations) Pty Ltd</dc:creator>
  <cp:lastModifiedBy>Veronica Fink</cp:lastModifiedBy>
  <cp:revision>175</cp:revision>
  <cp:lastPrinted>2011-10-10T05:20:00Z</cp:lastPrinted>
  <dcterms:created xsi:type="dcterms:W3CDTF">2020-07-30T23:29:00Z</dcterms:created>
  <dcterms:modified xsi:type="dcterms:W3CDTF">2021-06-29T06:47:00Z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0x010100756E766EE377C24084592FE49AF6C7E9</vt:lpwstr>
  </property>
  <property fmtid="{D5CDD505-2E9C-101B-9397-08002B2CF9AE}" pid="3" name="_dlc_DocIdItemGuid">
    <vt:lpwstr>5ea1f445-31aa-48cd-9d82-2e67df397e8f</vt:lpwstr>
  </property>
  <property fmtid="{D5CDD505-2E9C-101B-9397-08002B2CF9AE}" pid="4" name="TaxKeyword">
    <vt:lpwstr/>
  </property>
  <property fmtid="{D5CDD505-2E9C-101B-9397-08002B2CF9AE}" pid="5" name="Discipline">
    <vt:lpwstr/>
  </property>
  <property fmtid="{D5CDD505-2E9C-101B-9397-08002B2CF9AE}" pid="6" name="GHDRegion">
    <vt:lpwstr>3;#Australia|4b5dc0ee-7645-4358-b0c1-3ec636294e6b</vt:lpwstr>
  </property>
  <property fmtid="{D5CDD505-2E9C-101B-9397-08002B2CF9AE}" pid="7" name="ProjectDocumentCategory">
    <vt:lpwstr>19;#(Not Categorised)|f4f9c753-b57a-44c0-a441-0f219a3b091b</vt:lpwstr>
  </property>
  <property fmtid="{D5CDD505-2E9C-101B-9397-08002B2CF9AE}" pid="8" name="GHDOperatingCentre">
    <vt:lpwstr>2;#Victoria|dac0b128-dd9a-4785-991b-62e5de2e885b</vt:lpwstr>
  </property>
  <property fmtid="{D5CDD505-2E9C-101B-9397-08002B2CF9AE}" pid="9" name="Classification">
    <vt:lpwstr>1;#Unclassified|5bcd1335-87be-43aa-9aa8-adc620b22826</vt:lpwstr>
  </property>
  <property fmtid="{D5CDD505-2E9C-101B-9397-08002B2CF9AE}" pid="10" name="ProjectDocumentType">
    <vt:lpwstr/>
  </property>
  <property fmtid="{D5CDD505-2E9C-101B-9397-08002B2CF9AE}" pid="11" name="GHDCountry">
    <vt:lpwstr/>
  </property>
  <property fmtid="{D5CDD505-2E9C-101B-9397-08002B2CF9AE}" pid="12" name="WPCosting">
    <vt:filetime>2021-06-29T06:44:51Z</vt:filetime>
  </property>
  <property fmtid="{D5CDD505-2E9C-101B-9397-08002B2CF9AE}" pid="13" name="de8d7342c5b5450c9b842a5dc64d425d">
    <vt:lpwstr>(Not Categorised)|54c8a4fd-8769-4f61-8c90-9588a1422cbc</vt:lpwstr>
  </property>
  <property fmtid="{D5CDD505-2E9C-101B-9397-08002B2CF9AE}" pid="14" name="DocumentTransfer">
    <vt:lpwstr>20;#(Not Categorised)|54c8a4fd-8769-4f61-8c90-9588a1422cbc</vt:lpwstr>
  </property>
</Properties>
</file>