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9E" w:rsidRPr="009E6B9E" w:rsidRDefault="004B3F51" w:rsidP="006D347A">
      <w:pPr>
        <w:spacing w:after="120"/>
        <w:jc w:val="center"/>
        <w:rPr>
          <w:rFonts w:ascii="Arial" w:hAnsi="Arial" w:cs="Arial"/>
          <w:b/>
          <w:sz w:val="36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20"/>
        </w:rPr>
        <w:t>Goldfields Gas Pipeline</w:t>
      </w:r>
    </w:p>
    <w:p w:rsidR="00DC63A1" w:rsidRPr="009E6B9E" w:rsidRDefault="009E6B9E" w:rsidP="00C54986">
      <w:pPr>
        <w:spacing w:after="240"/>
        <w:jc w:val="center"/>
        <w:rPr>
          <w:rFonts w:ascii="Arial" w:hAnsi="Arial" w:cs="Arial"/>
          <w:b/>
          <w:sz w:val="28"/>
          <w:szCs w:val="20"/>
        </w:rPr>
      </w:pPr>
      <w:r w:rsidRPr="009E6B9E">
        <w:rPr>
          <w:rFonts w:ascii="Arial" w:hAnsi="Arial" w:cs="Arial"/>
          <w:b/>
          <w:sz w:val="28"/>
          <w:szCs w:val="20"/>
        </w:rPr>
        <w:t>Spare Capacity Register</w:t>
      </w:r>
    </w:p>
    <w:p w:rsidR="00B86FC8" w:rsidRDefault="00E82F0F" w:rsidP="00B86FC8">
      <w:pPr>
        <w:spacing w:after="120"/>
        <w:rPr>
          <w:rFonts w:ascii="Arial" w:hAnsi="Arial" w:cs="Arial"/>
          <w:sz w:val="20"/>
          <w:szCs w:val="20"/>
        </w:rPr>
      </w:pPr>
      <w:r w:rsidRPr="00E82F0F">
        <w:rPr>
          <w:rFonts w:ascii="Arial" w:hAnsi="Arial" w:cs="Arial"/>
          <w:sz w:val="20"/>
          <w:szCs w:val="20"/>
        </w:rPr>
        <w:t>The National Gas Rules require Service Providers of Covered Gas Transmission Pipelines to establish and maintain register</w:t>
      </w:r>
      <w:r w:rsidR="00225530">
        <w:rPr>
          <w:rFonts w:ascii="Arial" w:hAnsi="Arial" w:cs="Arial"/>
          <w:sz w:val="20"/>
          <w:szCs w:val="20"/>
        </w:rPr>
        <w:t>s</w:t>
      </w:r>
      <w:r w:rsidRPr="00E82F0F">
        <w:rPr>
          <w:rFonts w:ascii="Arial" w:hAnsi="Arial" w:cs="Arial"/>
          <w:sz w:val="20"/>
          <w:szCs w:val="20"/>
        </w:rPr>
        <w:t xml:space="preserve"> of spare capacity that include information about current and expected future spare capacity on </w:t>
      </w:r>
      <w:r w:rsidR="00225530">
        <w:rPr>
          <w:rFonts w:ascii="Arial" w:hAnsi="Arial" w:cs="Arial"/>
          <w:sz w:val="20"/>
          <w:szCs w:val="20"/>
        </w:rPr>
        <w:t>each</w:t>
      </w:r>
      <w:r w:rsidR="00225530" w:rsidRPr="00E82F0F">
        <w:rPr>
          <w:rFonts w:ascii="Arial" w:hAnsi="Arial" w:cs="Arial"/>
          <w:sz w:val="20"/>
          <w:szCs w:val="20"/>
        </w:rPr>
        <w:t xml:space="preserve"> </w:t>
      </w:r>
      <w:r w:rsidRPr="00E82F0F">
        <w:rPr>
          <w:rFonts w:ascii="Arial" w:hAnsi="Arial" w:cs="Arial"/>
          <w:sz w:val="20"/>
          <w:szCs w:val="20"/>
        </w:rPr>
        <w:t>Covered Pipeline.</w:t>
      </w:r>
    </w:p>
    <w:p w:rsidR="00F359CE" w:rsidRDefault="00E82F0F" w:rsidP="00B86FC8">
      <w:pPr>
        <w:spacing w:after="120"/>
        <w:rPr>
          <w:rFonts w:ascii="Arial" w:hAnsi="Arial" w:cs="Arial"/>
          <w:sz w:val="20"/>
          <w:szCs w:val="20"/>
        </w:rPr>
      </w:pPr>
      <w:r w:rsidRPr="00E82F0F">
        <w:rPr>
          <w:rFonts w:ascii="Arial" w:hAnsi="Arial" w:cs="Arial"/>
          <w:sz w:val="20"/>
          <w:szCs w:val="20"/>
        </w:rPr>
        <w:t xml:space="preserve">The Goldfields Gas Pipeline is a Covered Pipeline subject to a full access arrangement. The Reference Service for the Pipeline is a Firm service for gas </w:t>
      </w:r>
      <w:r w:rsidR="00950D9A">
        <w:rPr>
          <w:rFonts w:ascii="Arial" w:hAnsi="Arial" w:cs="Arial"/>
          <w:sz w:val="20"/>
          <w:szCs w:val="20"/>
        </w:rPr>
        <w:t>receipted</w:t>
      </w:r>
      <w:r w:rsidRPr="00E82F0F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E82F0F">
        <w:rPr>
          <w:rFonts w:ascii="Arial" w:hAnsi="Arial" w:cs="Arial"/>
          <w:sz w:val="20"/>
          <w:szCs w:val="20"/>
        </w:rPr>
        <w:t>Yarraloola</w:t>
      </w:r>
      <w:proofErr w:type="spellEnd"/>
      <w:r w:rsidRPr="00E82F0F">
        <w:rPr>
          <w:rFonts w:ascii="Arial" w:hAnsi="Arial" w:cs="Arial"/>
          <w:sz w:val="20"/>
          <w:szCs w:val="20"/>
        </w:rPr>
        <w:t xml:space="preserve"> and </w:t>
      </w:r>
      <w:r w:rsidR="00950D9A">
        <w:rPr>
          <w:rFonts w:ascii="Arial" w:hAnsi="Arial" w:cs="Arial"/>
          <w:sz w:val="20"/>
          <w:szCs w:val="20"/>
        </w:rPr>
        <w:t>delivered</w:t>
      </w:r>
      <w:r w:rsidRPr="00E82F0F">
        <w:rPr>
          <w:rFonts w:ascii="Arial" w:hAnsi="Arial" w:cs="Arial"/>
          <w:sz w:val="20"/>
          <w:szCs w:val="20"/>
        </w:rPr>
        <w:t xml:space="preserve"> to a new or existing delivery point on the Pipeline.</w:t>
      </w:r>
    </w:p>
    <w:p w:rsidR="004B3F51" w:rsidRDefault="004100F8" w:rsidP="00C5498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Goldfields Gas Pipeline </w:t>
      </w:r>
      <w:r w:rsidR="004B3F51" w:rsidRPr="004B3F51">
        <w:rPr>
          <w:rFonts w:ascii="Arial" w:hAnsi="Arial" w:cs="Arial"/>
          <w:b/>
          <w:sz w:val="20"/>
          <w:szCs w:val="20"/>
        </w:rPr>
        <w:t xml:space="preserve">Spare Capacity Register </w:t>
      </w:r>
    </w:p>
    <w:p w:rsidR="00BD02E8" w:rsidRPr="00BD02E8" w:rsidRDefault="00E82F0F" w:rsidP="006D347A">
      <w:pPr>
        <w:spacing w:after="120"/>
        <w:rPr>
          <w:rFonts w:ascii="Arial" w:hAnsi="Arial" w:cs="Arial"/>
          <w:sz w:val="20"/>
          <w:szCs w:val="20"/>
        </w:rPr>
      </w:pPr>
      <w:r w:rsidRPr="00CB25F6">
        <w:rPr>
          <w:rFonts w:ascii="Arial" w:hAnsi="Arial" w:cs="Arial"/>
          <w:sz w:val="20"/>
          <w:szCs w:val="20"/>
        </w:rPr>
        <w:t xml:space="preserve">The amount of capacity </w:t>
      </w:r>
      <w:r w:rsidR="007548D0">
        <w:rPr>
          <w:rFonts w:ascii="Arial" w:hAnsi="Arial" w:cs="Arial"/>
          <w:sz w:val="20"/>
          <w:szCs w:val="20"/>
        </w:rPr>
        <w:t>available for provision of the F</w:t>
      </w:r>
      <w:r w:rsidRPr="00CB25F6">
        <w:rPr>
          <w:rFonts w:ascii="Arial" w:hAnsi="Arial" w:cs="Arial"/>
          <w:sz w:val="20"/>
          <w:szCs w:val="20"/>
        </w:rPr>
        <w:t xml:space="preserve">irm service depends on the location of the </w:t>
      </w:r>
      <w:r w:rsidR="00950D9A">
        <w:rPr>
          <w:rFonts w:ascii="Arial" w:hAnsi="Arial" w:cs="Arial"/>
          <w:sz w:val="20"/>
          <w:szCs w:val="20"/>
        </w:rPr>
        <w:t>delivery</w:t>
      </w:r>
      <w:r w:rsidRPr="00CB25F6">
        <w:rPr>
          <w:rFonts w:ascii="Arial" w:hAnsi="Arial" w:cs="Arial"/>
          <w:sz w:val="20"/>
          <w:szCs w:val="20"/>
        </w:rPr>
        <w:t xml:space="preserve"> point at which a prospective user intends to </w:t>
      </w:r>
      <w:r w:rsidR="00950D9A">
        <w:rPr>
          <w:rFonts w:ascii="Arial" w:hAnsi="Arial" w:cs="Arial"/>
          <w:sz w:val="20"/>
          <w:szCs w:val="20"/>
        </w:rPr>
        <w:t>withdraw</w:t>
      </w:r>
      <w:r w:rsidRPr="00CB25F6">
        <w:rPr>
          <w:rFonts w:ascii="Arial" w:hAnsi="Arial" w:cs="Arial"/>
          <w:sz w:val="20"/>
          <w:szCs w:val="20"/>
        </w:rPr>
        <w:t xml:space="preserve"> gas.</w:t>
      </w:r>
      <w:r w:rsidR="00F359CE">
        <w:rPr>
          <w:rFonts w:ascii="Arial" w:hAnsi="Arial" w:cs="Arial"/>
          <w:sz w:val="20"/>
          <w:szCs w:val="20"/>
        </w:rPr>
        <w:t xml:space="preserve"> </w:t>
      </w:r>
      <w:r w:rsidR="00BD02E8">
        <w:rPr>
          <w:rFonts w:ascii="Arial" w:hAnsi="Arial" w:cs="Arial"/>
          <w:sz w:val="20"/>
          <w:szCs w:val="20"/>
        </w:rPr>
        <w:t xml:space="preserve">There is currently only limited capacity available </w:t>
      </w:r>
      <w:r w:rsidR="00645DFC">
        <w:rPr>
          <w:rFonts w:ascii="Arial" w:hAnsi="Arial" w:cs="Arial"/>
          <w:sz w:val="20"/>
          <w:szCs w:val="20"/>
        </w:rPr>
        <w:t xml:space="preserve">for provision of the </w:t>
      </w:r>
      <w:r w:rsidR="007548D0">
        <w:rPr>
          <w:rFonts w:ascii="Arial" w:hAnsi="Arial" w:cs="Arial"/>
          <w:sz w:val="20"/>
          <w:szCs w:val="20"/>
        </w:rPr>
        <w:t>F</w:t>
      </w:r>
      <w:r w:rsidR="00645DFC">
        <w:rPr>
          <w:rFonts w:ascii="Arial" w:hAnsi="Arial" w:cs="Arial"/>
          <w:sz w:val="20"/>
          <w:szCs w:val="20"/>
        </w:rPr>
        <w:t xml:space="preserve">irm service </w:t>
      </w:r>
      <w:r w:rsidR="00BD02E8">
        <w:rPr>
          <w:rFonts w:ascii="Arial" w:hAnsi="Arial" w:cs="Arial"/>
          <w:sz w:val="20"/>
          <w:szCs w:val="20"/>
        </w:rPr>
        <w:t xml:space="preserve">on the </w:t>
      </w:r>
      <w:r w:rsidR="00282290">
        <w:rPr>
          <w:rFonts w:ascii="Arial" w:hAnsi="Arial" w:cs="Arial"/>
          <w:sz w:val="20"/>
          <w:szCs w:val="20"/>
        </w:rPr>
        <w:t>Pipeline</w:t>
      </w:r>
      <w:r w:rsidR="00BD02E8">
        <w:rPr>
          <w:rFonts w:ascii="Arial" w:hAnsi="Arial" w:cs="Arial"/>
          <w:sz w:val="20"/>
          <w:szCs w:val="20"/>
        </w:rPr>
        <w:t xml:space="preserve">, as </w:t>
      </w:r>
      <w:r w:rsidR="00282290">
        <w:rPr>
          <w:rFonts w:ascii="Arial" w:hAnsi="Arial" w:cs="Arial"/>
          <w:sz w:val="20"/>
          <w:szCs w:val="20"/>
        </w:rPr>
        <w:t>is shown in t</w:t>
      </w:r>
      <w:r w:rsidR="00BD02E8">
        <w:rPr>
          <w:rFonts w:ascii="Arial" w:hAnsi="Arial" w:cs="Arial"/>
          <w:sz w:val="20"/>
          <w:szCs w:val="20"/>
        </w:rPr>
        <w:t>he follow</w:t>
      </w:r>
      <w:r w:rsidR="003D726F">
        <w:rPr>
          <w:rFonts w:ascii="Arial" w:hAnsi="Arial" w:cs="Arial"/>
          <w:sz w:val="20"/>
          <w:szCs w:val="20"/>
        </w:rPr>
        <w:t>ing</w:t>
      </w:r>
      <w:r w:rsidR="00BD02E8">
        <w:rPr>
          <w:rFonts w:ascii="Arial" w:hAnsi="Arial" w:cs="Arial"/>
          <w:sz w:val="20"/>
          <w:szCs w:val="20"/>
        </w:rPr>
        <w:t xml:space="preserve"> table.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71"/>
        <w:gridCol w:w="1614"/>
        <w:gridCol w:w="3473"/>
        <w:gridCol w:w="3473"/>
      </w:tblGrid>
      <w:tr w:rsidR="00B97C50" w:rsidRPr="004B3F51" w:rsidTr="00CD6186">
        <w:tc>
          <w:tcPr>
            <w:tcW w:w="1471" w:type="dxa"/>
            <w:shd w:val="clear" w:color="auto" w:fill="000000" w:themeFill="text1"/>
          </w:tcPr>
          <w:p w:rsidR="00B97C50" w:rsidRPr="004B3F51" w:rsidRDefault="00B97C50" w:rsidP="004B3F51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4B3F51">
              <w:rPr>
                <w:rFonts w:ascii="Arial" w:hAnsi="Arial" w:cs="Arial"/>
                <w:b/>
                <w:sz w:val="16"/>
                <w:szCs w:val="20"/>
              </w:rPr>
              <w:t>Receipt Point</w:t>
            </w:r>
          </w:p>
        </w:tc>
        <w:tc>
          <w:tcPr>
            <w:tcW w:w="1614" w:type="dxa"/>
            <w:shd w:val="clear" w:color="auto" w:fill="000000" w:themeFill="text1"/>
          </w:tcPr>
          <w:p w:rsidR="00B97C50" w:rsidRPr="004B3F51" w:rsidRDefault="00B97C50" w:rsidP="004B3F51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4B3F51">
              <w:rPr>
                <w:rFonts w:ascii="Arial" w:hAnsi="Arial" w:cs="Arial"/>
                <w:b/>
                <w:sz w:val="16"/>
                <w:szCs w:val="20"/>
              </w:rPr>
              <w:t>Delivery Point</w:t>
            </w:r>
            <w:r w:rsidR="005A09A9">
              <w:rPr>
                <w:rFonts w:ascii="Arial" w:hAnsi="Arial" w:cs="Arial"/>
                <w:b/>
                <w:sz w:val="16"/>
                <w:szCs w:val="20"/>
              </w:rPr>
              <w:t>*</w:t>
            </w:r>
          </w:p>
        </w:tc>
        <w:tc>
          <w:tcPr>
            <w:tcW w:w="3473" w:type="dxa"/>
            <w:shd w:val="clear" w:color="auto" w:fill="000000" w:themeFill="text1"/>
          </w:tcPr>
          <w:p w:rsidR="00DB6ECA" w:rsidRDefault="00B97C50" w:rsidP="005A3ACD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4B3F51">
              <w:rPr>
                <w:rFonts w:ascii="Arial" w:hAnsi="Arial" w:cs="Arial"/>
                <w:b/>
                <w:sz w:val="16"/>
                <w:szCs w:val="20"/>
              </w:rPr>
              <w:t>Spare Capacity</w:t>
            </w:r>
            <w:r w:rsidR="002E268B">
              <w:rPr>
                <w:rFonts w:ascii="Arial" w:hAnsi="Arial" w:cs="Arial"/>
                <w:b/>
                <w:sz w:val="16"/>
                <w:szCs w:val="20"/>
              </w:rPr>
              <w:t>*</w:t>
            </w:r>
            <w:r w:rsidRPr="004B3F5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B97C50" w:rsidRPr="005A3ACD" w:rsidRDefault="00B97C50" w:rsidP="00F359CE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4B3F51">
              <w:rPr>
                <w:rFonts w:ascii="Arial" w:hAnsi="Arial" w:cs="Arial"/>
                <w:b/>
                <w:sz w:val="16"/>
                <w:szCs w:val="20"/>
              </w:rPr>
              <w:t>(Firm Capacity in TJ/day)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3473" w:type="dxa"/>
            <w:shd w:val="clear" w:color="auto" w:fill="000000" w:themeFill="text1"/>
          </w:tcPr>
          <w:p w:rsidR="00B97C50" w:rsidRPr="004B3F51" w:rsidRDefault="00B97C50" w:rsidP="00F359CE">
            <w:pPr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When will capacity be available? </w:t>
            </w:r>
          </w:p>
        </w:tc>
      </w:tr>
      <w:tr w:rsidR="00B97C50" w:rsidTr="00CD6186">
        <w:tc>
          <w:tcPr>
            <w:tcW w:w="1471" w:type="dxa"/>
          </w:tcPr>
          <w:p w:rsidR="00B97C50" w:rsidRPr="004B3F51" w:rsidRDefault="00B97C50" w:rsidP="004B3F51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Yarraloola</w:t>
            </w:r>
            <w:proofErr w:type="spellEnd"/>
          </w:p>
        </w:tc>
        <w:tc>
          <w:tcPr>
            <w:tcW w:w="1614" w:type="dxa"/>
          </w:tcPr>
          <w:p w:rsidR="00B97C50" w:rsidRPr="004B3F51" w:rsidRDefault="00B97C50" w:rsidP="004B3F51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Wiluna</w:t>
            </w:r>
          </w:p>
        </w:tc>
        <w:tc>
          <w:tcPr>
            <w:tcW w:w="3473" w:type="dxa"/>
          </w:tcPr>
          <w:p w:rsidR="00B97C50" w:rsidRPr="004B3F51" w:rsidRDefault="00B97C50" w:rsidP="004B3F51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3.5TJ/day</w:t>
            </w:r>
          </w:p>
        </w:tc>
        <w:tc>
          <w:tcPr>
            <w:tcW w:w="3473" w:type="dxa"/>
          </w:tcPr>
          <w:p w:rsidR="00B97C50" w:rsidRDefault="00B97C50" w:rsidP="004B3F51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Currently available</w:t>
            </w:r>
          </w:p>
        </w:tc>
      </w:tr>
    </w:tbl>
    <w:p w:rsidR="00CD6186" w:rsidRPr="00B86FC8" w:rsidRDefault="005A09A9" w:rsidP="00632C23">
      <w:pPr>
        <w:spacing w:before="60"/>
        <w:rPr>
          <w:rFonts w:ascii="Arial" w:hAnsi="Arial" w:cs="Arial"/>
          <w:sz w:val="16"/>
          <w:szCs w:val="20"/>
        </w:rPr>
      </w:pPr>
      <w:r w:rsidRPr="00B86FC8">
        <w:rPr>
          <w:rFonts w:ascii="Arial" w:hAnsi="Arial" w:cs="Arial"/>
          <w:sz w:val="16"/>
          <w:szCs w:val="20"/>
        </w:rPr>
        <w:t>*</w:t>
      </w:r>
      <w:r w:rsidR="005F668D" w:rsidRPr="00B86FC8">
        <w:rPr>
          <w:rFonts w:ascii="Arial" w:hAnsi="Arial" w:cs="Arial"/>
          <w:sz w:val="16"/>
          <w:szCs w:val="20"/>
        </w:rPr>
        <w:t xml:space="preserve">Note that </w:t>
      </w:r>
      <w:r w:rsidR="00CD6186" w:rsidRPr="00B86FC8">
        <w:rPr>
          <w:rFonts w:ascii="Arial" w:hAnsi="Arial" w:cs="Arial"/>
          <w:sz w:val="16"/>
          <w:szCs w:val="20"/>
        </w:rPr>
        <w:t xml:space="preserve">capacity for </w:t>
      </w:r>
      <w:r w:rsidR="007548D0">
        <w:rPr>
          <w:rFonts w:ascii="Arial" w:hAnsi="Arial" w:cs="Arial"/>
          <w:sz w:val="16"/>
          <w:szCs w:val="20"/>
        </w:rPr>
        <w:t>F</w:t>
      </w:r>
      <w:r w:rsidR="005A4CFC" w:rsidRPr="00B86FC8">
        <w:rPr>
          <w:rFonts w:ascii="Arial" w:hAnsi="Arial" w:cs="Arial"/>
          <w:sz w:val="16"/>
          <w:szCs w:val="20"/>
        </w:rPr>
        <w:t xml:space="preserve">irm service may be available at </w:t>
      </w:r>
      <w:r w:rsidR="00CD6186" w:rsidRPr="00B86FC8">
        <w:rPr>
          <w:rFonts w:ascii="Arial" w:hAnsi="Arial" w:cs="Arial"/>
          <w:sz w:val="16"/>
          <w:szCs w:val="20"/>
        </w:rPr>
        <w:t>substitute delivery points</w:t>
      </w:r>
      <w:r w:rsidR="005A4CFC" w:rsidRPr="00B86FC8">
        <w:rPr>
          <w:rFonts w:ascii="Arial" w:hAnsi="Arial" w:cs="Arial"/>
          <w:sz w:val="16"/>
          <w:szCs w:val="20"/>
        </w:rPr>
        <w:t>,</w:t>
      </w:r>
      <w:r w:rsidR="00CD6186" w:rsidRPr="00B86FC8">
        <w:rPr>
          <w:rFonts w:ascii="Arial" w:hAnsi="Arial" w:cs="Arial"/>
          <w:sz w:val="16"/>
          <w:szCs w:val="20"/>
        </w:rPr>
        <w:t xml:space="preserve"> </w:t>
      </w:r>
      <w:r w:rsidR="00FF1453" w:rsidRPr="00B86FC8">
        <w:rPr>
          <w:rFonts w:ascii="Arial" w:hAnsi="Arial" w:cs="Arial"/>
          <w:sz w:val="16"/>
          <w:szCs w:val="20"/>
        </w:rPr>
        <w:t xml:space="preserve">but </w:t>
      </w:r>
      <w:r w:rsidR="005A4CFC" w:rsidRPr="00B86FC8">
        <w:rPr>
          <w:rFonts w:ascii="Arial" w:hAnsi="Arial" w:cs="Arial"/>
          <w:sz w:val="16"/>
          <w:szCs w:val="20"/>
        </w:rPr>
        <w:t xml:space="preserve">the quantity will </w:t>
      </w:r>
      <w:r w:rsidR="00FF1453" w:rsidRPr="00B86FC8">
        <w:rPr>
          <w:rFonts w:ascii="Arial" w:hAnsi="Arial" w:cs="Arial"/>
          <w:sz w:val="16"/>
          <w:szCs w:val="20"/>
        </w:rPr>
        <w:t xml:space="preserve">be </w:t>
      </w:r>
      <w:r w:rsidR="00CD6186" w:rsidRPr="00B86FC8">
        <w:rPr>
          <w:rFonts w:ascii="Arial" w:hAnsi="Arial" w:cs="Arial"/>
          <w:sz w:val="16"/>
          <w:szCs w:val="20"/>
        </w:rPr>
        <w:t>different to that specified above</w:t>
      </w:r>
    </w:p>
    <w:p w:rsidR="00C14A03" w:rsidRDefault="00C14A03" w:rsidP="00C14A03">
      <w:pPr>
        <w:spacing w:after="120"/>
        <w:rPr>
          <w:rFonts w:ascii="Arial" w:hAnsi="Arial" w:cs="Arial"/>
          <w:b/>
          <w:sz w:val="20"/>
          <w:szCs w:val="20"/>
        </w:rPr>
      </w:pPr>
      <w:r w:rsidRPr="004100F8">
        <w:rPr>
          <w:rFonts w:ascii="Arial" w:hAnsi="Arial" w:cs="Arial"/>
          <w:b/>
          <w:sz w:val="20"/>
          <w:szCs w:val="20"/>
        </w:rPr>
        <w:t>Information provided by users on unutilised contracted capacity</w:t>
      </w:r>
    </w:p>
    <w:p w:rsidR="00C14A03" w:rsidRDefault="005A4CFC" w:rsidP="00C14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14A03">
        <w:rPr>
          <w:rFonts w:ascii="Arial" w:hAnsi="Arial" w:cs="Arial"/>
          <w:sz w:val="20"/>
          <w:szCs w:val="20"/>
        </w:rPr>
        <w:t xml:space="preserve">sers </w:t>
      </w:r>
      <w:r>
        <w:rPr>
          <w:rFonts w:ascii="Arial" w:hAnsi="Arial" w:cs="Arial"/>
          <w:sz w:val="20"/>
          <w:szCs w:val="20"/>
        </w:rPr>
        <w:t xml:space="preserve">of the Pipeline have not provided APA with information </w:t>
      </w:r>
      <w:r w:rsidR="00C14A03">
        <w:rPr>
          <w:rFonts w:ascii="Arial" w:hAnsi="Arial" w:cs="Arial"/>
          <w:sz w:val="20"/>
          <w:szCs w:val="20"/>
        </w:rPr>
        <w:t>on the availability of unutilised contracted capacity.</w:t>
      </w:r>
    </w:p>
    <w:p w:rsidR="005A09A9" w:rsidRPr="005A09A9" w:rsidRDefault="005A09A9" w:rsidP="00C5498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Availability of alternative </w:t>
      </w:r>
      <w:r w:rsidRPr="005A09A9">
        <w:rPr>
          <w:rFonts w:ascii="Arial" w:hAnsi="Arial" w:cs="Arial"/>
          <w:b/>
          <w:sz w:val="20"/>
          <w:szCs w:val="20"/>
        </w:rPr>
        <w:t xml:space="preserve">services </w:t>
      </w:r>
    </w:p>
    <w:p w:rsidR="00BD02E8" w:rsidRDefault="00080C10" w:rsidP="00C14A0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Pipeline c</w:t>
      </w:r>
      <w:r w:rsidR="005A4CFC">
        <w:rPr>
          <w:rFonts w:ascii="Arial" w:hAnsi="Arial" w:cs="Arial"/>
          <w:sz w:val="20"/>
          <w:szCs w:val="20"/>
        </w:rPr>
        <w:t>apacity may be available for the provision of services other t</w:t>
      </w:r>
      <w:r w:rsidR="007548D0">
        <w:rPr>
          <w:rFonts w:ascii="Arial" w:hAnsi="Arial" w:cs="Arial"/>
          <w:sz w:val="20"/>
          <w:szCs w:val="20"/>
        </w:rPr>
        <w:t>han the F</w:t>
      </w:r>
      <w:r w:rsidR="00832DCD">
        <w:rPr>
          <w:rFonts w:ascii="Arial" w:hAnsi="Arial" w:cs="Arial"/>
          <w:sz w:val="20"/>
          <w:szCs w:val="20"/>
        </w:rPr>
        <w:t>irm service.</w:t>
      </w:r>
      <w:r w:rsidR="005A4CFC">
        <w:rPr>
          <w:rFonts w:ascii="Arial" w:hAnsi="Arial" w:cs="Arial"/>
          <w:sz w:val="20"/>
          <w:szCs w:val="20"/>
        </w:rPr>
        <w:t xml:space="preserve"> </w:t>
      </w:r>
      <w:r w:rsidR="005A09A9">
        <w:rPr>
          <w:rFonts w:ascii="Arial" w:hAnsi="Arial" w:cs="Arial"/>
          <w:sz w:val="20"/>
          <w:szCs w:val="20"/>
        </w:rPr>
        <w:t xml:space="preserve">These </w:t>
      </w:r>
      <w:r w:rsidR="005A4CFC">
        <w:rPr>
          <w:rFonts w:ascii="Arial" w:hAnsi="Arial" w:cs="Arial"/>
          <w:sz w:val="20"/>
          <w:szCs w:val="20"/>
        </w:rPr>
        <w:t xml:space="preserve">non-reference services </w:t>
      </w:r>
      <w:r w:rsidR="005A09A9">
        <w:rPr>
          <w:rFonts w:ascii="Arial" w:hAnsi="Arial" w:cs="Arial"/>
          <w:sz w:val="20"/>
          <w:szCs w:val="20"/>
        </w:rPr>
        <w:t>may include:</w:t>
      </w:r>
    </w:p>
    <w:p w:rsidR="005A09A9" w:rsidRDefault="005A09A9" w:rsidP="002769C2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A4CFC">
        <w:rPr>
          <w:rFonts w:ascii="Arial" w:hAnsi="Arial" w:cs="Arial"/>
          <w:sz w:val="20"/>
          <w:szCs w:val="20"/>
        </w:rPr>
        <w:t xml:space="preserve">easonal services (which are not available </w:t>
      </w:r>
      <w:r w:rsidR="00080C10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months</w:t>
      </w:r>
      <w:r w:rsidR="00080C10">
        <w:rPr>
          <w:rFonts w:ascii="Arial" w:hAnsi="Arial" w:cs="Arial"/>
          <w:sz w:val="20"/>
          <w:szCs w:val="20"/>
        </w:rPr>
        <w:t xml:space="preserve"> of peak capacity utilisation</w:t>
      </w:r>
      <w:r w:rsidR="00F359CE">
        <w:rPr>
          <w:rFonts w:ascii="Arial" w:hAnsi="Arial" w:cs="Arial"/>
          <w:sz w:val="20"/>
          <w:szCs w:val="20"/>
        </w:rPr>
        <w:t>)</w:t>
      </w:r>
    </w:p>
    <w:p w:rsidR="005A09A9" w:rsidRDefault="005A09A9" w:rsidP="002769C2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Interruptible and </w:t>
      </w:r>
      <w:r w:rsidR="00832DCD">
        <w:rPr>
          <w:rFonts w:ascii="Arial" w:hAnsi="Arial" w:cs="Arial"/>
          <w:sz w:val="20"/>
          <w:szCs w:val="20"/>
        </w:rPr>
        <w:t>“As A</w:t>
      </w:r>
      <w:r w:rsidR="00080C10">
        <w:rPr>
          <w:rFonts w:ascii="Arial" w:hAnsi="Arial" w:cs="Arial"/>
          <w:sz w:val="20"/>
          <w:szCs w:val="20"/>
        </w:rPr>
        <w:t xml:space="preserve">vailable” </w:t>
      </w:r>
      <w:r>
        <w:rPr>
          <w:rFonts w:ascii="Arial" w:hAnsi="Arial" w:cs="Arial"/>
          <w:sz w:val="20"/>
          <w:szCs w:val="20"/>
        </w:rPr>
        <w:t xml:space="preserve">services </w:t>
      </w:r>
    </w:p>
    <w:p w:rsidR="005A09A9" w:rsidRDefault="005A09A9" w:rsidP="006D347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availability of these services is dependent on the specific</w:t>
      </w:r>
      <w:r w:rsidR="00FF1453">
        <w:rPr>
          <w:rFonts w:ascii="Arial" w:hAnsi="Arial" w:cs="Arial"/>
          <w:sz w:val="20"/>
          <w:szCs w:val="20"/>
        </w:rPr>
        <w:t xml:space="preserve"> </w:t>
      </w:r>
      <w:r w:rsidR="00080C10">
        <w:rPr>
          <w:rFonts w:ascii="Arial" w:hAnsi="Arial" w:cs="Arial"/>
          <w:sz w:val="20"/>
          <w:szCs w:val="20"/>
        </w:rPr>
        <w:t>circumstances in which they are required</w:t>
      </w:r>
      <w:r w:rsidR="00F359C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A09A9" w:rsidRDefault="005A09A9" w:rsidP="005A09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that under the approved access arrangement, as available services are not available where there is spare firm capacity on the pipeline.</w:t>
      </w:r>
    </w:p>
    <w:p w:rsidR="00C14A03" w:rsidRPr="00C14A03" w:rsidRDefault="00C14A03" w:rsidP="00C14A03">
      <w:pPr>
        <w:spacing w:after="120"/>
        <w:rPr>
          <w:rFonts w:ascii="Arial" w:hAnsi="Arial" w:cs="Arial"/>
          <w:b/>
          <w:sz w:val="20"/>
          <w:szCs w:val="20"/>
        </w:rPr>
      </w:pPr>
      <w:r w:rsidRPr="00C14A03">
        <w:rPr>
          <w:rFonts w:ascii="Arial" w:hAnsi="Arial" w:cs="Arial"/>
          <w:b/>
          <w:sz w:val="20"/>
          <w:szCs w:val="20"/>
        </w:rPr>
        <w:t>Queuing Policy</w:t>
      </w:r>
    </w:p>
    <w:p w:rsidR="00832DCD" w:rsidRDefault="00080C10" w:rsidP="00F710FE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An application for capacity, irrespective of whether that capacity is used to provide the firm reference service or used to provide a non-reference service, </w:t>
      </w:r>
      <w:r w:rsidR="00F359CE">
        <w:rPr>
          <w:rFonts w:ascii="Arial" w:hAnsi="Arial" w:cs="Arial"/>
          <w:sz w:val="20"/>
          <w:szCs w:val="20"/>
        </w:rPr>
        <w:t>must be</w:t>
      </w:r>
      <w:r>
        <w:rPr>
          <w:rFonts w:ascii="Arial" w:hAnsi="Arial" w:cs="Arial"/>
          <w:sz w:val="20"/>
          <w:szCs w:val="20"/>
        </w:rPr>
        <w:t xml:space="preserve"> made in accordance with the procedure set out in the </w:t>
      </w:r>
      <w:r w:rsidR="00832DCD">
        <w:rPr>
          <w:rFonts w:ascii="Arial" w:hAnsi="Arial" w:cs="Arial"/>
          <w:sz w:val="20"/>
          <w:szCs w:val="20"/>
        </w:rPr>
        <w:t xml:space="preserve">Goldfields Gas Transmission (GGT) </w:t>
      </w:r>
      <w:r>
        <w:rPr>
          <w:rFonts w:ascii="Arial" w:hAnsi="Arial" w:cs="Arial"/>
          <w:sz w:val="20"/>
          <w:szCs w:val="20"/>
        </w:rPr>
        <w:t>Information Package</w:t>
      </w:r>
      <w:r w:rsidR="00B86FC8">
        <w:rPr>
          <w:rFonts w:ascii="Arial" w:hAnsi="Arial" w:cs="Arial"/>
          <w:sz w:val="20"/>
          <w:szCs w:val="20"/>
        </w:rPr>
        <w:t xml:space="preserve">, included in the </w:t>
      </w:r>
      <w:r w:rsidR="00832DCD">
        <w:rPr>
          <w:rFonts w:ascii="Arial" w:hAnsi="Arial" w:cs="Arial"/>
          <w:sz w:val="20"/>
          <w:szCs w:val="20"/>
        </w:rPr>
        <w:t xml:space="preserve">Goldfields Gas Pipeline </w:t>
      </w:r>
      <w:r w:rsidR="00B86FC8" w:rsidRPr="00832DCD">
        <w:rPr>
          <w:rFonts w:ascii="Arial" w:hAnsi="Arial" w:cs="Arial"/>
          <w:sz w:val="20"/>
          <w:szCs w:val="20"/>
        </w:rPr>
        <w:t>access arrangement</w:t>
      </w:r>
      <w:r w:rsidR="00832DCD" w:rsidRPr="00832DCD">
        <w:rPr>
          <w:rFonts w:ascii="Arial" w:hAnsi="Arial" w:cs="Arial"/>
          <w:sz w:val="20"/>
          <w:szCs w:val="20"/>
        </w:rPr>
        <w:t xml:space="preserve">. The access arrangement can be found on APA’s website at </w:t>
      </w:r>
      <w:proofErr w:type="gramStart"/>
      <w:r w:rsidR="00832DCD" w:rsidRPr="00832DCD">
        <w:rPr>
          <w:rFonts w:ascii="Arial" w:hAnsi="Arial" w:cs="Arial"/>
          <w:i/>
          <w:sz w:val="20"/>
          <w:szCs w:val="20"/>
        </w:rPr>
        <w:t>Our</w:t>
      </w:r>
      <w:proofErr w:type="gramEnd"/>
      <w:r w:rsidR="00832DCD" w:rsidRPr="00832DCD">
        <w:rPr>
          <w:rFonts w:ascii="Arial" w:hAnsi="Arial" w:cs="Arial"/>
          <w:i/>
          <w:sz w:val="20"/>
          <w:szCs w:val="20"/>
        </w:rPr>
        <w:t xml:space="preserve"> business / Economic Regulation / W</w:t>
      </w:r>
      <w:r w:rsidR="00832DCD">
        <w:rPr>
          <w:rFonts w:ascii="Arial" w:hAnsi="Arial" w:cs="Arial"/>
          <w:i/>
          <w:sz w:val="20"/>
          <w:szCs w:val="20"/>
        </w:rPr>
        <w:t>estern Australia</w:t>
      </w:r>
      <w:r w:rsidR="00832DCD">
        <w:rPr>
          <w:rFonts w:ascii="Arial" w:hAnsi="Arial" w:cs="Arial"/>
          <w:sz w:val="20"/>
          <w:szCs w:val="20"/>
        </w:rPr>
        <w:t>.</w:t>
      </w:r>
    </w:p>
    <w:p w:rsidR="00BD6490" w:rsidRDefault="00BD6490" w:rsidP="005A09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insufficient spare capacity is available to</w:t>
      </w:r>
      <w:r w:rsidR="007548D0">
        <w:rPr>
          <w:rFonts w:ascii="Arial" w:hAnsi="Arial" w:cs="Arial"/>
          <w:sz w:val="20"/>
          <w:szCs w:val="20"/>
        </w:rPr>
        <w:t xml:space="preserve"> meet all applications for the F</w:t>
      </w:r>
      <w:r>
        <w:rPr>
          <w:rFonts w:ascii="Arial" w:hAnsi="Arial" w:cs="Arial"/>
          <w:sz w:val="20"/>
          <w:szCs w:val="20"/>
        </w:rPr>
        <w:t xml:space="preserve">irm service, </w:t>
      </w:r>
      <w:r w:rsidR="00832DCD">
        <w:rPr>
          <w:rFonts w:ascii="Arial" w:hAnsi="Arial" w:cs="Arial"/>
          <w:sz w:val="20"/>
          <w:szCs w:val="20"/>
        </w:rPr>
        <w:t>GGT</w:t>
      </w:r>
      <w:r>
        <w:rPr>
          <w:rFonts w:ascii="Arial" w:hAnsi="Arial" w:cs="Arial"/>
          <w:sz w:val="20"/>
          <w:szCs w:val="20"/>
        </w:rPr>
        <w:t xml:space="preserve"> may develop </w:t>
      </w:r>
      <w:r w:rsidR="00B86FC8">
        <w:rPr>
          <w:rFonts w:ascii="Arial" w:hAnsi="Arial" w:cs="Arial"/>
          <w:sz w:val="20"/>
          <w:szCs w:val="20"/>
        </w:rPr>
        <w:t xml:space="preserve">further </w:t>
      </w:r>
      <w:r w:rsidR="007548D0">
        <w:rPr>
          <w:rFonts w:ascii="Arial" w:hAnsi="Arial" w:cs="Arial"/>
          <w:sz w:val="20"/>
          <w:szCs w:val="20"/>
        </w:rPr>
        <w:t>capacity in the p</w:t>
      </w:r>
      <w:r>
        <w:rPr>
          <w:rFonts w:ascii="Arial" w:hAnsi="Arial" w:cs="Arial"/>
          <w:sz w:val="20"/>
          <w:szCs w:val="20"/>
        </w:rPr>
        <w:t>ipeline. The allocation of spare capacity and developable capacity between prospective users is on a first come first served basis in accordance with the queuing policy of the Access Arrangement.</w:t>
      </w:r>
    </w:p>
    <w:p w:rsidR="00F710FE" w:rsidRPr="00832DCD" w:rsidRDefault="00F710FE" w:rsidP="00F710FE">
      <w:pPr>
        <w:keepNext/>
        <w:spacing w:after="120"/>
        <w:rPr>
          <w:rFonts w:ascii="Arial" w:hAnsi="Arial" w:cs="Arial"/>
          <w:b/>
          <w:sz w:val="20"/>
          <w:szCs w:val="20"/>
        </w:rPr>
      </w:pPr>
      <w:r w:rsidRPr="00832DCD">
        <w:rPr>
          <w:rFonts w:ascii="Arial" w:hAnsi="Arial" w:cs="Arial"/>
          <w:b/>
          <w:sz w:val="20"/>
          <w:szCs w:val="20"/>
        </w:rPr>
        <w:t>Future expansions of the pipeline</w:t>
      </w:r>
    </w:p>
    <w:p w:rsidR="00F710FE" w:rsidRDefault="00F710FE" w:rsidP="00F710FE">
      <w:pPr>
        <w:rPr>
          <w:rFonts w:ascii="Arial" w:hAnsi="Arial" w:cs="Arial"/>
          <w:sz w:val="20"/>
          <w:szCs w:val="20"/>
        </w:rPr>
      </w:pPr>
      <w:r w:rsidRPr="00832DCD">
        <w:rPr>
          <w:rFonts w:ascii="Arial" w:hAnsi="Arial" w:cs="Arial"/>
          <w:sz w:val="20"/>
          <w:szCs w:val="20"/>
        </w:rPr>
        <w:t xml:space="preserve">GGT </w:t>
      </w:r>
      <w:r w:rsidR="00832DCD">
        <w:rPr>
          <w:rFonts w:ascii="Arial" w:hAnsi="Arial" w:cs="Arial"/>
          <w:sz w:val="20"/>
          <w:szCs w:val="20"/>
        </w:rPr>
        <w:t>expanded the capacity of the</w:t>
      </w:r>
      <w:r w:rsidRPr="00832DCD">
        <w:rPr>
          <w:rFonts w:ascii="Arial" w:hAnsi="Arial" w:cs="Arial"/>
          <w:sz w:val="20"/>
          <w:szCs w:val="20"/>
        </w:rPr>
        <w:t xml:space="preserve"> Goldfields Gas Pipeline</w:t>
      </w:r>
      <w:r w:rsidR="00832DCD">
        <w:rPr>
          <w:rFonts w:ascii="Arial" w:hAnsi="Arial" w:cs="Arial"/>
          <w:sz w:val="20"/>
          <w:szCs w:val="20"/>
        </w:rPr>
        <w:t xml:space="preserve"> in 2013</w:t>
      </w:r>
      <w:r w:rsidRPr="00832DCD">
        <w:rPr>
          <w:rFonts w:ascii="Arial" w:hAnsi="Arial" w:cs="Arial"/>
          <w:sz w:val="20"/>
          <w:szCs w:val="20"/>
        </w:rPr>
        <w:t xml:space="preserve">. </w:t>
      </w:r>
      <w:r w:rsidR="00832DCD">
        <w:rPr>
          <w:rFonts w:ascii="Arial" w:hAnsi="Arial" w:cs="Arial"/>
          <w:sz w:val="20"/>
          <w:szCs w:val="20"/>
        </w:rPr>
        <w:t>No further expansions are currently planned, however if a shipper sought additional capacity GGT would review options for further expansion on a case by case basis.</w:t>
      </w:r>
      <w:r w:rsidR="00832DCD" w:rsidRPr="007B4B1A">
        <w:rPr>
          <w:rFonts w:ascii="Arial" w:hAnsi="Arial" w:cs="Arial"/>
          <w:sz w:val="20"/>
          <w:szCs w:val="20"/>
        </w:rPr>
        <w:t xml:space="preserve"> </w:t>
      </w:r>
    </w:p>
    <w:p w:rsidR="00C54986" w:rsidRPr="00C14A03" w:rsidRDefault="00C14A03" w:rsidP="00C14A03">
      <w:pPr>
        <w:spacing w:after="120"/>
        <w:rPr>
          <w:rFonts w:ascii="Arial" w:hAnsi="Arial" w:cs="Arial"/>
          <w:b/>
          <w:sz w:val="20"/>
          <w:szCs w:val="20"/>
        </w:rPr>
      </w:pPr>
      <w:r w:rsidRPr="00C14A03">
        <w:rPr>
          <w:rFonts w:ascii="Arial" w:hAnsi="Arial" w:cs="Arial"/>
          <w:b/>
          <w:sz w:val="20"/>
          <w:szCs w:val="20"/>
        </w:rPr>
        <w:t>Contact</w:t>
      </w:r>
    </w:p>
    <w:p w:rsidR="00C14A03" w:rsidRPr="004100F8" w:rsidRDefault="00832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GGP</w:t>
      </w:r>
      <w:r w:rsidRPr="00832DCD">
        <w:rPr>
          <w:rFonts w:ascii="Arial" w:hAnsi="Arial" w:cs="Arial"/>
          <w:sz w:val="20"/>
          <w:szCs w:val="20"/>
        </w:rPr>
        <w:t xml:space="preserve">’s Commercial team would welcome the opportunity to discuss your requirements and how we may be able to meet them. Please contact us on </w:t>
      </w:r>
      <w:r w:rsidR="00632C23">
        <w:rPr>
          <w:rFonts w:ascii="Arial" w:hAnsi="Arial" w:cs="Arial"/>
          <w:sz w:val="20"/>
          <w:szCs w:val="20"/>
        </w:rPr>
        <w:t>08</w:t>
      </w:r>
      <w:r w:rsidR="0049567A">
        <w:rPr>
          <w:rFonts w:ascii="Arial" w:hAnsi="Arial" w:cs="Arial"/>
          <w:sz w:val="20"/>
          <w:szCs w:val="20"/>
        </w:rPr>
        <w:t xml:space="preserve"> 6189 4354</w:t>
      </w:r>
      <w:r w:rsidR="003956AF">
        <w:rPr>
          <w:rFonts w:ascii="Arial" w:hAnsi="Arial" w:cs="Arial"/>
          <w:sz w:val="20"/>
          <w:szCs w:val="20"/>
        </w:rPr>
        <w:t>.</w:t>
      </w:r>
    </w:p>
    <w:sectPr w:rsidR="00C14A03" w:rsidRPr="004100F8" w:rsidSect="00C14A03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26"/>
    <w:multiLevelType w:val="hybridMultilevel"/>
    <w:tmpl w:val="ADC036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613E0"/>
    <w:multiLevelType w:val="hybridMultilevel"/>
    <w:tmpl w:val="1AB4DBFE"/>
    <w:lvl w:ilvl="0" w:tplc="464082A2">
      <w:start w:val="3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D562964"/>
    <w:multiLevelType w:val="hybridMultilevel"/>
    <w:tmpl w:val="3B466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11D4E"/>
    <w:multiLevelType w:val="hybridMultilevel"/>
    <w:tmpl w:val="AF34CA88"/>
    <w:lvl w:ilvl="0" w:tplc="7E0631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9E"/>
    <w:rsid w:val="00080C10"/>
    <w:rsid w:val="000C3E13"/>
    <w:rsid w:val="000F45F0"/>
    <w:rsid w:val="001377F2"/>
    <w:rsid w:val="001C1448"/>
    <w:rsid w:val="001C1B37"/>
    <w:rsid w:val="001E0E34"/>
    <w:rsid w:val="00225530"/>
    <w:rsid w:val="002769C2"/>
    <w:rsid w:val="00276B6F"/>
    <w:rsid w:val="00282290"/>
    <w:rsid w:val="00294E29"/>
    <w:rsid w:val="002A4D82"/>
    <w:rsid w:val="002E268B"/>
    <w:rsid w:val="00372FA3"/>
    <w:rsid w:val="0037556A"/>
    <w:rsid w:val="003956AF"/>
    <w:rsid w:val="003D726F"/>
    <w:rsid w:val="004100F8"/>
    <w:rsid w:val="00436F0D"/>
    <w:rsid w:val="0045679A"/>
    <w:rsid w:val="0049567A"/>
    <w:rsid w:val="004B3F51"/>
    <w:rsid w:val="004F087F"/>
    <w:rsid w:val="0050651B"/>
    <w:rsid w:val="005415F5"/>
    <w:rsid w:val="00572F58"/>
    <w:rsid w:val="005A09A9"/>
    <w:rsid w:val="005A3ACD"/>
    <w:rsid w:val="005A4CFC"/>
    <w:rsid w:val="005F668D"/>
    <w:rsid w:val="0060583E"/>
    <w:rsid w:val="00632C23"/>
    <w:rsid w:val="00645DFC"/>
    <w:rsid w:val="00675B44"/>
    <w:rsid w:val="006C017F"/>
    <w:rsid w:val="006D347A"/>
    <w:rsid w:val="006E2B05"/>
    <w:rsid w:val="006E55AD"/>
    <w:rsid w:val="006F1774"/>
    <w:rsid w:val="007548D0"/>
    <w:rsid w:val="00772D34"/>
    <w:rsid w:val="007B6010"/>
    <w:rsid w:val="00832DCD"/>
    <w:rsid w:val="00856ACA"/>
    <w:rsid w:val="008B5F53"/>
    <w:rsid w:val="008D2090"/>
    <w:rsid w:val="00950D9A"/>
    <w:rsid w:val="009E6B9E"/>
    <w:rsid w:val="00A0513B"/>
    <w:rsid w:val="00B57978"/>
    <w:rsid w:val="00B86FC8"/>
    <w:rsid w:val="00B97C50"/>
    <w:rsid w:val="00BC4FA1"/>
    <w:rsid w:val="00BD02E8"/>
    <w:rsid w:val="00BD6490"/>
    <w:rsid w:val="00C14A03"/>
    <w:rsid w:val="00C54986"/>
    <w:rsid w:val="00CB1DAA"/>
    <w:rsid w:val="00CB25F6"/>
    <w:rsid w:val="00CD5D97"/>
    <w:rsid w:val="00CD6186"/>
    <w:rsid w:val="00D112E9"/>
    <w:rsid w:val="00DB6ECA"/>
    <w:rsid w:val="00DC63A1"/>
    <w:rsid w:val="00E82F0F"/>
    <w:rsid w:val="00F359CE"/>
    <w:rsid w:val="00F710FE"/>
    <w:rsid w:val="00F74275"/>
    <w:rsid w:val="00FD092A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9E"/>
    <w:pPr>
      <w:ind w:left="720"/>
      <w:contextualSpacing/>
    </w:pPr>
  </w:style>
  <w:style w:type="table" w:styleId="TableGrid">
    <w:name w:val="Table Grid"/>
    <w:basedOn w:val="TableNormal"/>
    <w:uiPriority w:val="59"/>
    <w:rsid w:val="004B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1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7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0C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9E"/>
    <w:pPr>
      <w:ind w:left="720"/>
      <w:contextualSpacing/>
    </w:pPr>
  </w:style>
  <w:style w:type="table" w:styleId="TableGrid">
    <w:name w:val="Table Grid"/>
    <w:basedOn w:val="TableNormal"/>
    <w:uiPriority w:val="59"/>
    <w:rsid w:val="004B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1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7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0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45D2-4AF1-4061-8614-4BA3752D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 Group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2</cp:revision>
  <cp:lastPrinted>2013-11-20T04:43:00Z</cp:lastPrinted>
  <dcterms:created xsi:type="dcterms:W3CDTF">2014-03-10T04:28:00Z</dcterms:created>
  <dcterms:modified xsi:type="dcterms:W3CDTF">2014-03-10T04:28:00Z</dcterms:modified>
</cp:coreProperties>
</file>